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jc w:val="center"/>
        <w:rPr>
          <w:rFonts w:cs="Arial"/>
          <w:b/>
          <w:bCs/>
          <w:smallCaps/>
          <w:color w:val="000000"/>
          <w:sz w:val="28"/>
          <w:szCs w:val="28"/>
        </w:rPr>
      </w:pPr>
      <w:r>
        <w:rPr>
          <w:rFonts w:cs="Arial"/>
          <w:b/>
          <w:bCs/>
          <w:smallCaps/>
          <w:color w:val="000000"/>
          <w:sz w:val="28"/>
          <w:szCs w:val="28"/>
        </w:rPr>
      </w:r>
    </w:p>
    <w:p>
      <w:pPr>
        <w:pStyle w:val="Normal"/>
        <w:spacing w:lineRule="auto" w:line="240"/>
        <w:jc w:val="center"/>
        <w:rPr/>
      </w:pPr>
      <w:r>
        <w:rPr>
          <w:rFonts w:cs="Arial" w:ascii="Verdana" w:hAnsi="Verdana"/>
          <w:b/>
          <w:bCs/>
          <w:smallCaps/>
          <w:color w:val="000000"/>
          <w:sz w:val="28"/>
          <w:szCs w:val="28"/>
        </w:rPr>
        <w:t xml:space="preserve">EDITAL </w:t>
      </w:r>
    </w:p>
    <w:p>
      <w:pPr>
        <w:pStyle w:val="Normal"/>
        <w:spacing w:lineRule="auto" w:line="240"/>
        <w:jc w:val="center"/>
        <w:rPr/>
      </w:pPr>
      <w:r>
        <w:rPr>
          <w:rFonts w:cs="Arial" w:ascii="Verdana" w:hAnsi="Verdana"/>
          <w:b/>
          <w:bCs/>
          <w:smallCaps/>
          <w:color w:val="000000"/>
          <w:sz w:val="28"/>
          <w:szCs w:val="28"/>
        </w:rPr>
        <w:t>PREGÃO ELETRÔNICO Nº 016/2025</w:t>
      </w:r>
    </w:p>
    <w:p>
      <w:pPr>
        <w:pStyle w:val="Normal"/>
        <w:spacing w:lineRule="auto" w:line="240"/>
        <w:jc w:val="center"/>
        <w:rPr/>
      </w:pPr>
      <w:r>
        <w:rPr>
          <w:rFonts w:cs="Arial" w:ascii="Verdana" w:hAnsi="Verdana"/>
          <w:b/>
          <w:bCs/>
          <w:smallCaps/>
          <w:color w:val="000000"/>
          <w:sz w:val="28"/>
          <w:szCs w:val="28"/>
        </w:rPr>
        <w:t>(Processo Administrativo n° 01551/2025 de 25/02/2025)</w:t>
      </w:r>
    </w:p>
    <w:p>
      <w:pPr>
        <w:pStyle w:val="Normal"/>
        <w:spacing w:lineRule="auto" w:line="240"/>
        <w:jc w:val="center"/>
        <w:rPr>
          <w:rFonts w:ascii="Verdana" w:hAnsi="Verdana"/>
          <w:sz w:val="20"/>
          <w:szCs w:val="20"/>
        </w:rPr>
      </w:pPr>
      <w:r>
        <w:rPr>
          <w:rFonts w:ascii="Verdana" w:hAnsi="Verdana"/>
          <w:sz w:val="20"/>
          <w:szCs w:val="20"/>
        </w:rPr>
      </w:r>
    </w:p>
    <w:p>
      <w:pPr>
        <w:pStyle w:val="Normal"/>
        <w:spacing w:lineRule="auto" w:line="240"/>
        <w:jc w:val="center"/>
        <w:rPr>
          <w:rFonts w:ascii="Verdana" w:hAnsi="Verdana"/>
          <w:sz w:val="20"/>
          <w:szCs w:val="20"/>
        </w:rPr>
      </w:pPr>
      <w:r>
        <w:rPr>
          <w:rFonts w:ascii="Verdana" w:hAnsi="Verdana"/>
          <w:sz w:val="20"/>
          <w:szCs w:val="20"/>
        </w:rPr>
      </w:r>
    </w:p>
    <w:p>
      <w:pPr>
        <w:pStyle w:val="BodyText"/>
        <w:spacing w:lineRule="auto" w:line="240" w:before="57" w:after="57"/>
        <w:jc w:val="both"/>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40" w:before="57" w:after="57"/>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40" w:before="57" w:after="57"/>
        <w:jc w:val="both"/>
        <w:rPr/>
      </w:pPr>
      <w:r>
        <w:rPr>
          <w:rFonts w:cs="Arial" w:ascii="Verdana" w:hAnsi="Verdana"/>
          <w:b/>
          <w:bCs/>
          <w:color w:val="000000"/>
          <w:sz w:val="20"/>
          <w:szCs w:val="20"/>
        </w:rPr>
        <w:t xml:space="preserve">Data da sessão: </w:t>
      </w:r>
      <w:r>
        <w:rPr>
          <w:rFonts w:cs="Arial" w:ascii="Verdana" w:hAnsi="Verdana"/>
          <w:b/>
          <w:bCs/>
          <w:color w:val="000000"/>
          <w:sz w:val="20"/>
          <w:szCs w:val="20"/>
        </w:rPr>
        <w:t>21/05/2025</w:t>
      </w:r>
      <w:r>
        <w:rPr>
          <w:rFonts w:cs="Arial" w:ascii="Verdana" w:hAnsi="Verdana"/>
          <w:b/>
          <w:bCs/>
          <w:color w:val="000000"/>
          <w:sz w:val="20"/>
          <w:szCs w:val="20"/>
        </w:rPr>
        <w:t>.</w:t>
      </w:r>
    </w:p>
    <w:p>
      <w:pPr>
        <w:pStyle w:val="Normal"/>
        <w:spacing w:lineRule="auto" w:line="240" w:before="57" w:after="57"/>
        <w:rPr/>
      </w:pPr>
      <w:r>
        <w:rPr>
          <w:rFonts w:cs="Arial" w:ascii="Verdana" w:hAnsi="Verdana"/>
          <w:b/>
          <w:bCs/>
          <w:color w:val="000000"/>
          <w:sz w:val="20"/>
          <w:szCs w:val="20"/>
        </w:rPr>
        <w:t xml:space="preserve">Horário: </w:t>
      </w:r>
      <w:r>
        <w:rPr>
          <w:rFonts w:cs="Arial" w:ascii="Verdana" w:hAnsi="Verdana"/>
          <w:b/>
          <w:bCs/>
          <w:color w:val="000000"/>
          <w:sz w:val="20"/>
          <w:szCs w:val="20"/>
        </w:rPr>
        <w:t>13</w:t>
      </w:r>
      <w:r>
        <w:rPr>
          <w:rFonts w:cs="Arial" w:ascii="Verdana" w:hAnsi="Verdana"/>
          <w:b/>
          <w:bCs/>
          <w:color w:val="000000"/>
          <w:sz w:val="20"/>
          <w:szCs w:val="20"/>
        </w:rPr>
        <w:t>h00min.</w:t>
      </w:r>
    </w:p>
    <w:p>
      <w:pPr>
        <w:pStyle w:val="Normal"/>
        <w:spacing w:lineRule="auto" w:line="240" w:before="57" w:after="57"/>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lineRule="auto" w:line="240" w:before="57" w:after="57"/>
        <w:rPr/>
      </w:pPr>
      <w:r>
        <w:rPr>
          <w:rFonts w:cs="Arial" w:ascii="Verdana" w:hAnsi="Verdana"/>
          <w:b/>
          <w:bCs/>
          <w:color w:val="000000"/>
          <w:sz w:val="20"/>
          <w:szCs w:val="20"/>
        </w:rPr>
        <w:t>ID CIDA</w:t>
      </w:r>
      <w:r>
        <w:rPr>
          <w:rFonts w:ascii="Verdana" w:hAnsi="Verdana"/>
          <w:b/>
          <w:bCs/>
          <w:sz w:val="20"/>
          <w:szCs w:val="20"/>
        </w:rPr>
        <w:t xml:space="preserve">DES: </w:t>
      </w:r>
    </w:p>
    <w:p>
      <w:pPr>
        <w:pStyle w:val="Normal"/>
        <w:spacing w:lineRule="auto" w:line="240" w:before="57" w:after="57"/>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57" w:after="57"/>
        <w:ind w:hanging="0" w:left="0"/>
        <w:rPr/>
      </w:pPr>
      <w:r>
        <w:rPr>
          <w:rFonts w:cs="Arial" w:ascii="Verdana" w:hAnsi="Verdana"/>
        </w:rPr>
        <w:t>DO OBJETO</w:t>
      </w:r>
    </w:p>
    <w:p>
      <w:pPr>
        <w:pStyle w:val="ListParagraph"/>
        <w:spacing w:lineRule="auto" w:line="240" w:before="57" w:after="57"/>
        <w:ind w:hanging="0" w:left="0"/>
        <w:contextualSpacing w:val="false"/>
        <w:jc w:val="both"/>
        <w:rPr/>
      </w:pPr>
      <w:r>
        <w:rPr>
          <w:rFonts w:cs="Arial" w:ascii="Verdana" w:hAnsi="Verdana"/>
          <w:color w:val="000000"/>
          <w:sz w:val="20"/>
          <w:szCs w:val="20"/>
        </w:rPr>
        <w:t xml:space="preserve">1.1 O objeto da presente licitação é a </w:t>
      </w:r>
      <w:bookmarkStart w:id="1" w:name="_Hlk162947020"/>
      <w:r>
        <w:rPr>
          <w:rFonts w:eastAsia="Batang;바탕" w:cs="Arial" w:ascii="Verdana" w:hAnsi="Verdana"/>
          <w:b/>
          <w:i/>
          <w:iCs/>
          <w:sz w:val="20"/>
          <w:szCs w:val="20"/>
        </w:rPr>
        <w:t>Constituição de Ata de Registro de Preços,</w:t>
      </w:r>
      <w:r>
        <w:rPr>
          <w:rFonts w:eastAsia="Batang;바탕" w:cs="Arial" w:ascii="Verdana" w:hAnsi="Verdana"/>
          <w:iCs/>
          <w:sz w:val="20"/>
          <w:szCs w:val="20"/>
        </w:rPr>
        <w:t xml:space="preserve"> para futura e eventual </w:t>
      </w:r>
      <w:bookmarkStart w:id="2" w:name="_Hlk148958481"/>
      <w:r>
        <w:rPr>
          <w:rFonts w:eastAsia="Batang;바탕" w:cs="Arial" w:ascii="Verdana" w:hAnsi="Verdana"/>
          <w:iCs/>
          <w:sz w:val="20"/>
          <w:szCs w:val="20"/>
        </w:rPr>
        <w:t xml:space="preserve">aquisição </w:t>
      </w:r>
      <w:r>
        <w:rPr>
          <w:rFonts w:ascii="Verdana" w:hAnsi="Verdana"/>
          <w:iCs/>
          <w:sz w:val="20"/>
        </w:rPr>
        <w:t>de materiais laboratoriais para atender as necessidades do Laboratório Público Municipal da Secretaria Municipal de Saúde</w:t>
      </w:r>
      <w:bookmarkEnd w:id="1"/>
      <w:bookmarkEnd w:id="2"/>
      <w:r>
        <w:rPr>
          <w:rFonts w:ascii="Verdana" w:hAnsi="Verdana"/>
          <w:iCs/>
          <w:sz w:val="20"/>
        </w:rPr>
        <w:t xml:space="preserve">, </w:t>
      </w:r>
      <w:r>
        <w:rPr>
          <w:rFonts w:eastAsia="Batang;바탕" w:cs="Arial" w:ascii="Verdana" w:hAnsi="Verdana"/>
          <w:color w:val="000000"/>
          <w:kern w:val="2"/>
          <w:sz w:val="20"/>
          <w:szCs w:val="20"/>
          <w:lang w:eastAsia="en-US" w:bidi="pt-BR"/>
        </w:rPr>
        <w:t>conforme c</w:t>
      </w:r>
      <w:r>
        <w:rPr>
          <w:rFonts w:cs="Arial" w:ascii="Verdana" w:hAnsi="Verdana"/>
          <w:sz w:val="20"/>
          <w:szCs w:val="20"/>
        </w:rPr>
        <w:t>ondições, quantidades e exigências estabelecidas neste Edital e seus anexos.</w:t>
      </w:r>
    </w:p>
    <w:p>
      <w:pPr>
        <w:pStyle w:val="Normal"/>
        <w:spacing w:lineRule="auto" w:line="240" w:before="57" w:after="57"/>
        <w:jc w:val="both"/>
        <w:rPr/>
      </w:pPr>
      <w:r>
        <w:rPr>
          <w:rFonts w:cs="Arial" w:ascii="Verdana" w:hAnsi="Verdana"/>
          <w:iCs/>
          <w:color w:themeColor="text1" w:val="000000"/>
          <w:sz w:val="20"/>
          <w:szCs w:val="20"/>
        </w:rPr>
        <w:t>1.2 A licitação será dividida em itens, conforme tabela constante no ANEXO II – Modelo Orientativo de Proposta,</w:t>
      </w:r>
      <w:r>
        <w:rPr>
          <w:rFonts w:cs="Arial" w:ascii="Verdana" w:hAnsi="Verdana"/>
          <w:b/>
          <w:iCs/>
          <w:color w:themeColor="text1" w:val="000000"/>
          <w:sz w:val="20"/>
          <w:szCs w:val="20"/>
        </w:rPr>
        <w:t xml:space="preserve"> </w:t>
      </w:r>
      <w:r>
        <w:rPr>
          <w:rFonts w:ascii="Verdana" w:hAnsi="Verdana"/>
          <w:sz w:val="20"/>
          <w:szCs w:val="20"/>
        </w:rPr>
        <w:t>facultando-se ao licitante a participação em quantos itens forem de seu interesse.</w:t>
      </w:r>
      <w:r>
        <w:rPr>
          <w:rFonts w:cs="Arial" w:ascii="Verdana" w:hAnsi="Verdana"/>
          <w:b/>
          <w:iCs/>
          <w:color w:themeColor="text1" w:val="000000"/>
          <w:sz w:val="20"/>
          <w:szCs w:val="20"/>
        </w:rPr>
        <w:t xml:space="preserve"> </w:t>
      </w:r>
    </w:p>
    <w:p>
      <w:pPr>
        <w:pStyle w:val="Normal"/>
        <w:spacing w:lineRule="auto" w:line="240" w:before="57" w:after="57"/>
        <w:jc w:val="both"/>
        <w:rPr/>
      </w:pPr>
      <w:r>
        <w:rPr>
          <w:rFonts w:cs="Arial" w:ascii="Verdana" w:hAnsi="Verdana"/>
          <w:iCs/>
          <w:color w:themeColor="text1" w:val="000000"/>
          <w:sz w:val="20"/>
          <w:szCs w:val="20"/>
        </w:rPr>
        <w:t>1.3 O critério de julgamento adotado será o menor preço por item, observadas as exigências contidas neste Edital e seus Anexos quanto às especificações do objeto.</w:t>
      </w:r>
    </w:p>
    <w:p>
      <w:pPr>
        <w:pStyle w:val="Normal"/>
        <w:tabs>
          <w:tab w:val="clear" w:pos="708"/>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spacing w:lineRule="auto" w:line="240"/>
        <w:jc w:val="both"/>
        <w:rPr>
          <w:rFonts w:ascii="Verdana" w:hAnsi="Verdana"/>
        </w:rPr>
      </w:pPr>
      <w:r>
        <w:rPr>
          <w:rFonts w:ascii="Verdana" w:hAnsi="Verdana"/>
        </w:rPr>
      </w:r>
    </w:p>
    <w:p>
      <w:pPr>
        <w:pStyle w:val="Nivel01"/>
        <w:numPr>
          <w:ilvl w:val="0"/>
          <w:numId w:val="2"/>
        </w:numPr>
        <w:spacing w:lineRule="auto" w:line="240" w:before="113" w:after="113"/>
        <w:ind w:hanging="0" w:left="57" w:right="57"/>
        <w:rPr/>
      </w:pPr>
      <w:r>
        <w:rPr>
          <w:rFonts w:cs="Arial" w:ascii="Verdana" w:hAnsi="Verdana"/>
        </w:rPr>
        <w:t xml:space="preserve">DO REGISTRO DE PREÇOS </w:t>
      </w:r>
    </w:p>
    <w:p>
      <w:pPr>
        <w:pStyle w:val="Normal"/>
        <w:spacing w:lineRule="auto" w:line="240" w:before="113" w:after="113"/>
        <w:ind w:hanging="0" w:left="57" w:right="57"/>
        <w:jc w:val="both"/>
        <w:rPr/>
      </w:pPr>
      <w:r>
        <w:rPr>
          <w:rFonts w:cs="Arial" w:ascii="Verdana" w:hAnsi="Verdana"/>
          <w:color w:val="000000"/>
          <w:sz w:val="20"/>
          <w:szCs w:val="20"/>
        </w:rPr>
        <w:t>2.1 As regras referentes ao órgão gerenciador são as que constam da minuta de Ata de Registro de Preços.</w:t>
      </w:r>
    </w:p>
    <w:p>
      <w:pPr>
        <w:pStyle w:val="Normal"/>
        <w:spacing w:lineRule="auto" w:line="240" w:before="113" w:after="113"/>
        <w:ind w:hanging="0" w:left="57" w:right="57"/>
        <w:jc w:val="both"/>
        <w:rPr/>
      </w:pPr>
      <w:r>
        <w:rPr>
          <w:rFonts w:cs="Arial" w:ascii="Verdana" w:hAnsi="Verdana"/>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pPr>
        <w:pStyle w:val="Normal"/>
        <w:tabs>
          <w:tab w:val="clear" w:pos="708"/>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spacing w:lineRule="auto" w:line="240"/>
        <w:jc w:val="both"/>
        <w:rPr>
          <w:rFonts w:ascii="Verdana" w:hAnsi="Verdana"/>
        </w:rPr>
      </w:pPr>
      <w:r>
        <w:rPr>
          <w:rFonts w:ascii="Verdana" w:hAnsi="Verdana"/>
        </w:rPr>
      </w:r>
    </w:p>
    <w:p>
      <w:pPr>
        <w:pStyle w:val="Nivel01"/>
        <w:numPr>
          <w:ilvl w:val="0"/>
          <w:numId w:val="2"/>
        </w:numPr>
        <w:spacing w:lineRule="auto" w:line="240" w:before="57" w:after="57"/>
        <w:ind w:hanging="0" w:left="0"/>
        <w:rPr/>
      </w:pPr>
      <w:r>
        <w:rPr>
          <w:rFonts w:cs="Arial" w:ascii="Verdana" w:hAnsi="Verdana"/>
        </w:rPr>
        <w:t>DO CREDENCIAMENTO</w:t>
      </w:r>
    </w:p>
    <w:p>
      <w:pPr>
        <w:pStyle w:val="Default"/>
        <w:spacing w:lineRule="auto" w:line="240" w:before="0" w:after="0"/>
        <w:ind w:hanging="0" w:right="113"/>
        <w:jc w:val="both"/>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40" w:before="0" w:after="0"/>
        <w:ind w:hanging="0" w:right="113"/>
        <w:jc w:val="both"/>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40" w:before="0" w:after="0"/>
        <w:ind w:hanging="0" w:right="113"/>
        <w:jc w:val="both"/>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40" w:before="0" w:after="0"/>
        <w:ind w:hanging="0" w:right="113"/>
        <w:jc w:val="both"/>
        <w:rPr/>
      </w:pPr>
      <w:r>
        <w:rPr>
          <w:rFonts w:ascii="Verdana" w:hAnsi="Verdana"/>
          <w:sz w:val="20"/>
          <w:szCs w:val="20"/>
        </w:rPr>
        <w:t xml:space="preserve">3.4 O credenciamento do licitante e de seu representante legal junto ao sistema eletrônico implica a responsabilização pelos atos praticados, devendo ser indicada pessoa com capacidade técnica para realização das transações inerentes ao certame. </w:t>
      </w:r>
    </w:p>
    <w:p>
      <w:pPr>
        <w:pStyle w:val="Default"/>
        <w:spacing w:lineRule="auto" w:line="240" w:before="0" w:after="0"/>
        <w:ind w:hanging="0" w:right="113"/>
        <w:jc w:val="both"/>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40" w:before="113" w:after="113"/>
        <w:ind w:hanging="0" w:right="113"/>
        <w:jc w:val="both"/>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spacing w:lineRule="auto" w:line="240" w:before="113" w:after="113"/>
        <w:ind w:hanging="0" w:right="113"/>
        <w:jc w:val="both"/>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pPr>
      <w:r>
        <w:rPr>
          <w:rFonts w:cs="Arial" w:ascii="Verdana" w:hAnsi="Verdana"/>
        </w:rPr>
        <w:t>DA PARTICIPAÇÃO NO PREGÃO.</w:t>
      </w:r>
    </w:p>
    <w:p>
      <w:pPr>
        <w:pStyle w:val="Normal"/>
        <w:spacing w:lineRule="auto" w:line="240" w:before="57" w:after="57"/>
        <w:jc w:val="both"/>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240" w:before="57" w:after="57"/>
        <w:jc w:val="both"/>
        <w:rPr/>
      </w:pPr>
      <w:r>
        <w:rPr>
          <w:rFonts w:cs="Arial" w:ascii="Verdana" w:hAnsi="Verdana"/>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40" w:before="57" w:after="57"/>
        <w:jc w:val="both"/>
        <w:rPr/>
      </w:pPr>
      <w:r>
        <w:rPr>
          <w:rStyle w:val="InternetLink"/>
          <w:rFonts w:cs="Arial" w:ascii="Verdana" w:hAnsi="Verdana"/>
          <w:iCs/>
          <w:color w:val="000000"/>
          <w:sz w:val="20"/>
          <w:szCs w:val="20"/>
          <w:u w:val="none"/>
        </w:rPr>
        <w:t>4.2.1 Poderão participar da licitação as empresas interessadas,</w:t>
      </w:r>
      <w:r>
        <w:rPr>
          <w:rStyle w:val="InternetLink"/>
          <w:rFonts w:cs="Arial" w:ascii="Verdana" w:hAnsi="Verdana"/>
          <w:i/>
          <w:iCs/>
          <w:color w:val="000000"/>
          <w:sz w:val="20"/>
          <w:szCs w:val="20"/>
          <w:u w:val="none"/>
        </w:rPr>
        <w:t xml:space="preserve"> </w:t>
      </w:r>
      <w:r>
        <w:rPr>
          <w:rStyle w:val="InternetLink"/>
          <w:rFonts w:cs="Arial" w:ascii="Verdana" w:hAnsi="Verdana"/>
          <w:iCs/>
          <w:color w:val="000000"/>
          <w:sz w:val="20"/>
          <w:szCs w:val="20"/>
          <w:u w:val="none"/>
        </w:rPr>
        <w:t xml:space="preserve">pertencentes ao ramo de atividade relacionado ao objeto da licitação e que estiverem previamente credenciadas perante o sistema eletrônico provido pelo Portal de Compras Públicas, por meio do sítio </w:t>
      </w:r>
      <w:hyperlink r:id="rId3">
        <w:r>
          <w:rPr>
            <w:rStyle w:val="Hyperlink"/>
            <w:rFonts w:cs="Arial" w:ascii="Verdana" w:hAnsi="Verdana"/>
            <w:i/>
            <w:iCs/>
            <w:sz w:val="20"/>
            <w:szCs w:val="20"/>
            <w:u w:val="none"/>
          </w:rPr>
          <w:t>www.portaldecompraspublicas.com.br</w:t>
        </w:r>
      </w:hyperlink>
      <w:r>
        <w:rPr>
          <w:rStyle w:val="InternetLink"/>
          <w:rFonts w:cs="Arial" w:ascii="Verdana" w:hAnsi="Verdana"/>
          <w:iCs/>
          <w:sz w:val="20"/>
          <w:szCs w:val="20"/>
          <w:u w:val="none"/>
        </w:rPr>
        <w:t>.</w:t>
      </w:r>
    </w:p>
    <w:p>
      <w:pPr>
        <w:pStyle w:val="Normal"/>
        <w:snapToGrid w:val="false"/>
        <w:spacing w:lineRule="auto" w:line="240" w:before="57" w:after="57"/>
        <w:jc w:val="both"/>
        <w:rPr/>
      </w:pPr>
      <w:r>
        <w:rPr>
          <w:rFonts w:cs="Arial" w:ascii="Verdana" w:hAnsi="Verdana"/>
          <w:bCs/>
          <w:color w:val="000000"/>
          <w:sz w:val="20"/>
          <w:szCs w:val="20"/>
        </w:rPr>
        <w:t>4.3 Não poderão participar desta licitação os interessados:</w:t>
      </w:r>
    </w:p>
    <w:p>
      <w:pPr>
        <w:pStyle w:val="Normal"/>
        <w:tabs>
          <w:tab w:val="clear" w:pos="708"/>
          <w:tab w:val="left" w:pos="1440" w:leader="none"/>
        </w:tabs>
        <w:snapToGrid w:val="false"/>
        <w:spacing w:lineRule="auto" w:line="240" w:before="57" w:after="57"/>
        <w:jc w:val="both"/>
        <w:rPr/>
      </w:pPr>
      <w:r>
        <w:rPr>
          <w:rFonts w:cs="Arial" w:ascii="Verdana" w:hAnsi="Verdana"/>
          <w:bCs/>
          <w:sz w:val="20"/>
          <w:szCs w:val="20"/>
        </w:rPr>
        <w:t>4.3.1 Proibidos de participar de licitações e celebrar contratos administrativos, na forma da legislação vigente;</w:t>
      </w:r>
    </w:p>
    <w:p>
      <w:pPr>
        <w:pStyle w:val="Normal"/>
        <w:tabs>
          <w:tab w:val="clear" w:pos="708"/>
          <w:tab w:val="left" w:pos="1440" w:leader="none"/>
        </w:tabs>
        <w:snapToGrid w:val="false"/>
        <w:spacing w:lineRule="auto" w:line="240" w:before="57" w:after="57"/>
        <w:jc w:val="both"/>
        <w:rPr/>
      </w:pPr>
      <w:r>
        <w:rPr>
          <w:rFonts w:cs="Arial" w:ascii="Verdana" w:hAnsi="Verdana"/>
          <w:bCs/>
          <w:sz w:val="20"/>
          <w:szCs w:val="20"/>
        </w:rPr>
        <w:t>4.3.2 Que não atendam às condições deste Edital e seu(s) anexo(s);</w:t>
      </w:r>
    </w:p>
    <w:p>
      <w:pPr>
        <w:pStyle w:val="Normal"/>
        <w:tabs>
          <w:tab w:val="clear" w:pos="708"/>
          <w:tab w:val="left" w:pos="1440" w:leader="none"/>
        </w:tabs>
        <w:snapToGrid w:val="false"/>
        <w:spacing w:lineRule="auto" w:line="240" w:before="57" w:after="57"/>
        <w:jc w:val="both"/>
        <w:rPr/>
      </w:pPr>
      <w:r>
        <w:rPr>
          <w:rFonts w:cs="Arial" w:ascii="Verdana" w:hAnsi="Verdana"/>
          <w:bCs/>
          <w:color w:val="000000"/>
          <w:sz w:val="20"/>
          <w:szCs w:val="20"/>
        </w:rPr>
        <w:t>4.3.3 A</w:t>
      </w:r>
      <w:bookmarkStart w:id="3"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3"/>
    </w:p>
    <w:p>
      <w:pPr>
        <w:pStyle w:val="Normal"/>
        <w:tabs>
          <w:tab w:val="clear" w:pos="708"/>
          <w:tab w:val="left" w:pos="1440" w:leader="none"/>
        </w:tabs>
        <w:snapToGrid w:val="false"/>
        <w:spacing w:lineRule="auto" w:line="240" w:before="57" w:after="57"/>
        <w:jc w:val="both"/>
        <w:rPr/>
      </w:pPr>
      <w:r>
        <w:rPr>
          <w:rFonts w:eastAsia="Arial Unicode MS" w:cs="Arial" w:ascii="Verdana" w:hAnsi="Verdana"/>
          <w:color w:val="000000"/>
          <w:sz w:val="20"/>
          <w:szCs w:val="20"/>
        </w:rPr>
        <w:t>4.3.4 E</w:t>
      </w:r>
      <w:bookmarkStart w:id="4"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pPr>
        <w:pStyle w:val="Normal"/>
        <w:tabs>
          <w:tab w:val="clear" w:pos="708"/>
          <w:tab w:val="left" w:pos="1440" w:leader="none"/>
        </w:tabs>
        <w:snapToGrid w:val="false"/>
        <w:spacing w:lineRule="auto" w:line="240" w:before="57" w:after="57"/>
        <w:jc w:val="both"/>
        <w:rPr/>
      </w:pPr>
      <w:r>
        <w:rPr>
          <w:rFonts w:cs="Arial" w:ascii="Verdana" w:hAnsi="Verdana"/>
          <w:color w:val="000000"/>
          <w:sz w:val="20"/>
          <w:szCs w:val="20"/>
        </w:rPr>
        <w:t>4.3.5 P</w:t>
      </w:r>
      <w:bookmarkStart w:id="5"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5"/>
    </w:p>
    <w:p>
      <w:pPr>
        <w:pStyle w:val="Normal"/>
        <w:tabs>
          <w:tab w:val="clear" w:pos="708"/>
          <w:tab w:val="left" w:pos="1440" w:leader="none"/>
        </w:tabs>
        <w:snapToGrid w:val="false"/>
        <w:spacing w:lineRule="auto" w:line="240" w:before="57" w:after="57"/>
        <w:jc w:val="both"/>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08"/>
          <w:tab w:val="left" w:pos="1440" w:leader="none"/>
        </w:tabs>
        <w:snapToGrid w:val="false"/>
        <w:spacing w:lineRule="auto" w:line="240" w:before="57" w:after="57"/>
        <w:jc w:val="both"/>
        <w:rPr/>
      </w:pPr>
      <w:r>
        <w:rPr>
          <w:rFonts w:cs="Arial" w:ascii="Verdana" w:hAnsi="Verdana"/>
          <w:color w:val="000000"/>
          <w:sz w:val="20"/>
          <w:szCs w:val="20"/>
        </w:rPr>
        <w:t>4.3.7 E</w:t>
      </w:r>
      <w:bookmarkStart w:id="6" w:name="_Ref113883579"/>
      <w:r>
        <w:rPr>
          <w:rFonts w:cs="Arial" w:ascii="Verdana" w:hAnsi="Verdana"/>
          <w:color w:val="000000"/>
          <w:sz w:val="20"/>
          <w:szCs w:val="20"/>
        </w:rPr>
        <w:t>mpresas controladoras, controladas ou coligadas, nos termos da Lei nº 6.404, de 15 de dezembro de 1976, concorrendo entre si;</w:t>
      </w:r>
      <w:bookmarkEnd w:id="6"/>
    </w:p>
    <w:p>
      <w:pPr>
        <w:pStyle w:val="Normal"/>
        <w:tabs>
          <w:tab w:val="clear" w:pos="708"/>
          <w:tab w:val="left" w:pos="1440" w:leader="none"/>
        </w:tabs>
        <w:snapToGrid w:val="false"/>
        <w:spacing w:lineRule="auto" w:line="240" w:before="57" w:after="57"/>
        <w:jc w:val="both"/>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40" w:before="57" w:after="57"/>
        <w:jc w:val="both"/>
        <w:rPr/>
      </w:pPr>
      <w:r>
        <w:rPr>
          <w:rFonts w:cs="Arial" w:ascii="Verdana" w:hAnsi="Verdana"/>
          <w:color w:val="000000"/>
          <w:sz w:val="20"/>
          <w:szCs w:val="20"/>
        </w:rPr>
        <w:t>4.3.9 A</w:t>
      </w:r>
      <w:bookmarkStart w:id="7" w:name="_Ref113962336"/>
      <w:r>
        <w:rPr>
          <w:rFonts w:cs="Arial" w:ascii="Verdana" w:hAnsi="Verdana"/>
          <w:color w:val="000000"/>
          <w:sz w:val="20"/>
          <w:szCs w:val="20"/>
        </w:rPr>
        <w:t>gente público do órgão ou entidade licitante;</w:t>
      </w:r>
      <w:bookmarkEnd w:id="7"/>
    </w:p>
    <w:p>
      <w:pPr>
        <w:pStyle w:val="Normal"/>
        <w:snapToGrid w:val="false"/>
        <w:spacing w:lineRule="auto" w:line="240" w:before="57" w:after="57"/>
        <w:jc w:val="both"/>
        <w:rPr/>
      </w:pPr>
      <w:r>
        <w:rPr>
          <w:rFonts w:cs="Arial" w:ascii="Verdana" w:hAnsi="Verdana"/>
          <w:bCs/>
          <w:color w:val="000000"/>
          <w:sz w:val="20"/>
          <w:szCs w:val="20"/>
        </w:rPr>
        <w:t>4.3.10 Organizações da Sociedade Civil interesse Público – OSCIP, atuando nessa condição;</w:t>
      </w:r>
    </w:p>
    <w:p>
      <w:pPr>
        <w:pStyle w:val="Normal"/>
        <w:snapToGrid w:val="false"/>
        <w:spacing w:lineRule="auto" w:line="240" w:before="57" w:after="57"/>
        <w:jc w:val="both"/>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lineRule="auto" w:line="240" w:before="0" w:after="0"/>
        <w:ind w:hanging="0" w:left="0"/>
        <w:rPr/>
      </w:pPr>
      <w:r>
        <w:rPr>
          <w:rFonts w:eastAsia="Segoe UI" w:cs="Arial" w:ascii="Verdana" w:hAnsi="Verdana"/>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lineRule="auto" w:line="240" w:before="0" w:after="0"/>
        <w:ind w:hanging="0" w:left="0"/>
        <w:rPr/>
      </w:pPr>
      <w:bookmarkStart w:id="8" w:name="art14§2"/>
      <w:bookmarkEnd w:id="8"/>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lineRule="auto" w:line="240" w:before="0" w:after="0"/>
        <w:ind w:hanging="0" w:left="0"/>
        <w:rPr/>
      </w:pPr>
      <w:bookmarkStart w:id="9" w:name="art14§3"/>
      <w:bookmarkEnd w:id="9"/>
      <w:r>
        <w:rPr>
          <w:rFonts w:eastAsia="Segoe UI" w:cs="Arial" w:ascii="Verdana" w:hAnsi="Verdana"/>
          <w:bCs/>
          <w:color w:val="000000"/>
        </w:rPr>
        <w:t>4.6 Equiparam-se aos autores do projeto as empresas integrantes do mesmo grupo econômico.</w:t>
      </w:r>
    </w:p>
    <w:p>
      <w:pPr>
        <w:pStyle w:val="Nivel2"/>
        <w:numPr>
          <w:ilvl w:val="0"/>
          <w:numId w:val="0"/>
        </w:numPr>
        <w:spacing w:lineRule="auto" w:line="240" w:before="0" w:after="0"/>
        <w:ind w:hanging="0" w:left="0"/>
        <w:rPr/>
      </w:pPr>
      <w:bookmarkStart w:id="10" w:name="art14§4"/>
      <w:bookmarkEnd w:id="10"/>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lineRule="auto" w:line="240" w:before="0" w:after="0"/>
        <w:ind w:hanging="0" w:left="0"/>
        <w:rPr/>
      </w:pPr>
      <w:bookmarkStart w:id="11" w:name="art14§5"/>
      <w:bookmarkEnd w:id="11"/>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lineRule="auto" w:line="240" w:before="0" w:after="0"/>
        <w:ind w:hanging="0" w:left="0"/>
        <w:rPr/>
      </w:pPr>
      <w:r>
        <w:rPr>
          <w:rFonts w:eastAsia="Segoe UI" w:cs="Arial" w:ascii="Verdana" w:hAnsi="Verdana"/>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lineRule="auto" w:line="240"/>
        <w:ind w:hanging="0" w:left="0"/>
        <w:rPr>
          <w:rFonts w:ascii="Verdana" w:hAnsi="Verdana" w:eastAsia="Segoe UI" w:cs="Arial"/>
          <w:bCs/>
          <w:color w:val="000000"/>
        </w:rPr>
      </w:pPr>
      <w:r>
        <w:rPr>
          <w:rFonts w:eastAsia="Segoe UI" w:cs="Arial" w:ascii="Verdana" w:hAnsi="Verdana"/>
          <w:bCs/>
          <w:color w:val="000000"/>
        </w:rPr>
      </w:r>
    </w:p>
    <w:p>
      <w:pPr>
        <w:pStyle w:val="Nivel01"/>
        <w:numPr>
          <w:ilvl w:val="0"/>
          <w:numId w:val="2"/>
        </w:numPr>
        <w:spacing w:lineRule="auto" w:line="240" w:before="0" w:after="0"/>
        <w:ind w:hanging="0" w:left="0"/>
        <w:rPr/>
      </w:pPr>
      <w:r>
        <w:rPr>
          <w:rFonts w:cs="Arial" w:ascii="Verdana" w:hAnsi="Verdana"/>
        </w:rPr>
        <w:t>DA APRESENTAÇÃO DA PROPOSTA E DOS DOCUMENTOS DE HABILITAÇÃO</w:t>
      </w:r>
    </w:p>
    <w:p>
      <w:pPr>
        <w:pStyle w:val="Normal"/>
        <w:numPr>
          <w:ilvl w:val="1"/>
          <w:numId w:val="19"/>
        </w:numPr>
        <w:tabs>
          <w:tab w:val="clear" w:pos="708"/>
          <w:tab w:val="left" w:pos="450" w:leader="none"/>
          <w:tab w:val="left" w:pos="1450" w:leader="none"/>
        </w:tabs>
        <w:spacing w:lineRule="auto" w:line="240" w:before="0" w:after="0"/>
        <w:ind w:hanging="0" w:left="0"/>
        <w:jc w:val="both"/>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20"/>
        </w:numPr>
        <w:tabs>
          <w:tab w:val="clear" w:pos="708"/>
          <w:tab w:val="left" w:pos="450" w:leader="none"/>
        </w:tabs>
        <w:spacing w:lineRule="auto" w:line="240" w:before="57" w:after="57"/>
        <w:ind w:hanging="0" w:left="0"/>
        <w:jc w:val="both"/>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21"/>
        </w:numPr>
        <w:tabs>
          <w:tab w:val="clear" w:pos="708"/>
          <w:tab w:val="left" w:pos="450" w:leader="none"/>
        </w:tabs>
        <w:spacing w:lineRule="auto" w:line="240" w:before="57" w:after="57"/>
        <w:ind w:hanging="0" w:left="0"/>
        <w:jc w:val="both"/>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22"/>
        </w:numPr>
        <w:tabs>
          <w:tab w:val="clear" w:pos="708"/>
          <w:tab w:val="left" w:pos="450" w:leader="none"/>
        </w:tabs>
        <w:spacing w:lineRule="auto" w:line="240" w:before="57" w:after="57"/>
        <w:ind w:hanging="0" w:left="0"/>
        <w:jc w:val="both"/>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23"/>
        </w:numPr>
        <w:tabs>
          <w:tab w:val="clear" w:pos="708"/>
          <w:tab w:val="left" w:pos="450" w:leader="none"/>
        </w:tabs>
        <w:spacing w:lineRule="auto" w:line="240" w:before="57" w:after="57"/>
        <w:ind w:hanging="0" w:left="0"/>
        <w:jc w:val="both"/>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24"/>
        </w:numPr>
        <w:tabs>
          <w:tab w:val="clear" w:pos="708"/>
          <w:tab w:val="left" w:pos="450" w:leader="none"/>
        </w:tabs>
        <w:spacing w:lineRule="auto" w:line="240" w:before="57" w:after="57"/>
        <w:ind w:hanging="0" w:left="0"/>
        <w:jc w:val="both"/>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5"/>
        </w:numPr>
        <w:tabs>
          <w:tab w:val="clear" w:pos="708"/>
          <w:tab w:val="left" w:pos="450" w:leader="none"/>
        </w:tabs>
        <w:spacing w:lineRule="auto" w:line="240" w:before="57" w:after="57"/>
        <w:ind w:hanging="0" w:left="0"/>
        <w:jc w:val="both"/>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6"/>
        </w:numPr>
        <w:tabs>
          <w:tab w:val="clear" w:pos="708"/>
          <w:tab w:val="left" w:pos="450" w:leader="none"/>
        </w:tabs>
        <w:spacing w:lineRule="auto" w:line="240" w:before="57" w:after="57"/>
        <w:ind w:hanging="0" w:left="0"/>
        <w:jc w:val="both"/>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08"/>
          <w:tab w:val="left" w:pos="450" w:leader="none"/>
        </w:tabs>
        <w:spacing w:lineRule="auto" w:line="240" w:before="57" w:after="57"/>
        <w:jc w:val="both"/>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Pr/>
      </w:pPr>
      <w:r>
        <w:rPr>
          <w:rFonts w:cs="Arial" w:ascii="Verdana" w:hAnsi="Verdana"/>
        </w:rPr>
        <w:t>DO PREENCHIMENTO DA PROPOSTA</w:t>
      </w:r>
    </w:p>
    <w:p>
      <w:pPr>
        <w:pStyle w:val="Normal"/>
        <w:numPr>
          <w:ilvl w:val="1"/>
          <w:numId w:val="2"/>
        </w:numPr>
        <w:tabs>
          <w:tab w:val="clear" w:pos="708"/>
          <w:tab w:val="left" w:pos="450" w:leader="none"/>
        </w:tabs>
        <w:spacing w:lineRule="auto" w:line="240" w:before="0" w:after="0"/>
        <w:ind w:hanging="0" w:left="0" w:right="113"/>
        <w:jc w:val="both"/>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08"/>
          <w:tab w:val="left" w:pos="617" w:leader="none"/>
          <w:tab w:val="left" w:pos="733" w:leader="none"/>
        </w:tabs>
        <w:snapToGrid w:val="false"/>
        <w:spacing w:lineRule="auto" w:line="240" w:before="0" w:after="0"/>
        <w:ind w:hanging="1638" w:left="1638" w:right="113"/>
        <w:jc w:val="both"/>
        <w:rPr/>
      </w:pPr>
      <w:r>
        <w:rPr>
          <w:rFonts w:cs="Arial" w:ascii="Verdana" w:hAnsi="Verdana"/>
          <w:iCs/>
          <w:color w:themeColor="text1" w:val="000000"/>
          <w:sz w:val="20"/>
          <w:szCs w:val="20"/>
        </w:rPr>
        <w:t>Valor unitário e total do item;</w:t>
      </w:r>
    </w:p>
    <w:p>
      <w:pPr>
        <w:pStyle w:val="Normal"/>
        <w:tabs>
          <w:tab w:val="clear" w:pos="708"/>
          <w:tab w:val="left" w:pos="617" w:leader="none"/>
          <w:tab w:val="left" w:pos="1440" w:leader="none"/>
        </w:tabs>
        <w:snapToGrid w:val="false"/>
        <w:spacing w:lineRule="auto" w:line="240" w:before="0" w:after="0"/>
        <w:ind w:hanging="0" w:right="113"/>
        <w:jc w:val="both"/>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08"/>
          <w:tab w:val="left" w:pos="617" w:leader="none"/>
          <w:tab w:val="left" w:pos="683" w:leader="none"/>
        </w:tabs>
        <w:snapToGrid w:val="false"/>
        <w:spacing w:lineRule="auto" w:line="240" w:before="0" w:after="0"/>
        <w:ind w:hanging="0" w:left="0" w:right="113"/>
        <w:jc w:val="both"/>
        <w:rPr/>
      </w:pPr>
      <w:r>
        <w:rPr>
          <w:rFonts w:cs="Arial" w:ascii="Verdana" w:hAnsi="Verdana"/>
          <w:bCs/>
          <w:iCs/>
          <w:color w:val="000000"/>
          <w:sz w:val="20"/>
          <w:szCs w:val="20"/>
        </w:rPr>
        <w:t>Marca;</w:t>
      </w:r>
    </w:p>
    <w:p>
      <w:pPr>
        <w:pStyle w:val="Normal"/>
        <w:numPr>
          <w:ilvl w:val="2"/>
          <w:numId w:val="2"/>
        </w:numPr>
        <w:tabs>
          <w:tab w:val="clear" w:pos="708"/>
          <w:tab w:val="left" w:pos="617" w:leader="none"/>
          <w:tab w:val="left" w:pos="683" w:leader="none"/>
        </w:tabs>
        <w:snapToGrid w:val="false"/>
        <w:spacing w:lineRule="auto" w:line="240" w:before="0" w:after="0"/>
        <w:ind w:hanging="0" w:left="0" w:right="113"/>
        <w:jc w:val="both"/>
        <w:rPr/>
      </w:pPr>
      <w:r>
        <w:rPr>
          <w:rFonts w:cs="Arial" w:ascii="Verdana" w:hAnsi="Verdana"/>
          <w:bCs/>
          <w:iCs/>
          <w:color w:val="000000"/>
          <w:sz w:val="20"/>
          <w:szCs w:val="20"/>
        </w:rPr>
        <w:t>Fabricante;</w:t>
      </w:r>
    </w:p>
    <w:p>
      <w:pPr>
        <w:pStyle w:val="Normal"/>
        <w:numPr>
          <w:ilvl w:val="2"/>
          <w:numId w:val="2"/>
        </w:numPr>
        <w:tabs>
          <w:tab w:val="clear" w:pos="708"/>
          <w:tab w:val="left" w:pos="617" w:leader="none"/>
          <w:tab w:val="left" w:pos="683" w:leader="none"/>
        </w:tabs>
        <w:snapToGrid w:val="false"/>
        <w:spacing w:lineRule="auto" w:line="240" w:before="0" w:after="0"/>
        <w:ind w:hanging="0" w:left="0" w:right="113"/>
        <w:jc w:val="both"/>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08"/>
          <w:tab w:val="left" w:pos="450" w:leader="none"/>
        </w:tabs>
        <w:spacing w:lineRule="auto" w:line="240" w:before="0" w:after="0"/>
        <w:ind w:hanging="6" w:left="0" w:right="113"/>
        <w:contextualSpacing/>
        <w:jc w:val="both"/>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08"/>
          <w:tab w:val="left" w:pos="450" w:leader="none"/>
        </w:tabs>
        <w:spacing w:lineRule="auto" w:line="240" w:before="113" w:after="113"/>
        <w:ind w:hanging="6" w:left="0" w:right="113"/>
        <w:contextualSpacing/>
        <w:jc w:val="both"/>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08"/>
          <w:tab w:val="left" w:pos="450" w:leader="none"/>
        </w:tabs>
        <w:spacing w:lineRule="auto" w:line="240" w:before="113" w:after="0"/>
        <w:ind w:hanging="6" w:left="0" w:right="113"/>
        <w:contextualSpacing/>
        <w:jc w:val="both"/>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08"/>
          <w:tab w:val="left" w:pos="426" w:leader="none"/>
        </w:tabs>
        <w:suppressAutoHyphens w:val="false"/>
        <w:spacing w:lineRule="auto" w:line="240" w:before="0" w:after="0"/>
        <w:ind w:hanging="0" w:left="0"/>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08"/>
          <w:tab w:val="left" w:pos="450" w:leader="none"/>
        </w:tabs>
        <w:spacing w:lineRule="auto" w:line="240" w:before="113" w:after="113"/>
        <w:ind w:hanging="6" w:left="0" w:right="113"/>
        <w:contextualSpacing/>
        <w:jc w:val="both"/>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08"/>
          <w:tab w:val="left" w:pos="450" w:leader="none"/>
        </w:tabs>
        <w:spacing w:lineRule="auto" w:line="240" w:before="113" w:after="113"/>
        <w:ind w:hanging="6" w:left="0" w:right="113"/>
        <w:contextualSpacing/>
        <w:jc w:val="both"/>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lineRule="auto" w:line="240" w:before="113" w:after="113"/>
        <w:ind w:hanging="0" w:left="0" w:right="113"/>
        <w:contextualSpacing/>
        <w:jc w:val="both"/>
        <w:rPr/>
      </w:pPr>
      <w:r>
        <w:rPr>
          <w:rFonts w:cs="Arial" w:ascii="Verdana" w:hAnsi="Verdana"/>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lineRule="auto" w:line="240" w:before="113" w:after="113"/>
        <w:ind w:hanging="0" w:left="0" w:right="113"/>
        <w:contextualSpacing/>
        <w:jc w:val="both"/>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08"/>
          <w:tab w:val="left" w:pos="517" w:leader="none"/>
        </w:tabs>
        <w:spacing w:lineRule="auto" w:line="240" w:before="57" w:after="57"/>
        <w:ind w:hanging="0" w:left="0"/>
        <w:contextualSpacing w:val="false"/>
        <w:jc w:val="both"/>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240"/>
        <w:ind w:hanging="0" w:left="0"/>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08"/>
          <w:tab w:val="left" w:pos="517" w:leader="none"/>
        </w:tabs>
        <w:spacing w:lineRule="auto" w:line="240" w:before="57" w:after="57"/>
        <w:ind w:hanging="0" w:left="0"/>
        <w:contextualSpacing w:val="false"/>
        <w:jc w:val="both"/>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08"/>
          <w:tab w:val="left" w:pos="683" w:leader="none"/>
        </w:tabs>
        <w:snapToGrid w:val="false"/>
        <w:spacing w:lineRule="auto" w:line="240" w:before="57" w:after="57"/>
        <w:ind w:hanging="0" w:left="0"/>
        <w:jc w:val="both"/>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08"/>
          <w:tab w:val="left" w:pos="683" w:leader="none"/>
        </w:tabs>
        <w:snapToGrid w:val="false"/>
        <w:spacing w:lineRule="auto" w:line="240" w:before="57" w:after="57"/>
        <w:ind w:hanging="0" w:left="0"/>
        <w:jc w:val="both"/>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08"/>
          <w:tab w:val="left" w:pos="683" w:leader="none"/>
        </w:tabs>
        <w:snapToGrid w:val="false"/>
        <w:spacing w:lineRule="auto" w:line="240" w:before="57" w:after="57"/>
        <w:jc w:val="both"/>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08"/>
          <w:tab w:val="left" w:pos="683" w:leader="none"/>
        </w:tabs>
        <w:snapToGrid w:val="false"/>
        <w:spacing w:lineRule="auto" w:line="240" w:before="57" w:after="57"/>
        <w:jc w:val="both"/>
        <w:rPr/>
      </w:pPr>
      <w:r>
        <w:rPr>
          <w:rFonts w:cs="Arial" w:ascii="Verdana" w:hAnsi="Verdana"/>
          <w:color w:val="000000"/>
          <w:sz w:val="20"/>
          <w:szCs w:val="20"/>
        </w:rPr>
        <w:t>7.4 O sistema disponibilizará campo próprio para troca de mensagens entre o Pregoeiro e os licitantes.</w:t>
      </w:r>
    </w:p>
    <w:p>
      <w:pPr>
        <w:pStyle w:val="Normal"/>
        <w:tabs>
          <w:tab w:val="clear" w:pos="708"/>
          <w:tab w:val="left" w:pos="683" w:leader="none"/>
        </w:tabs>
        <w:snapToGrid w:val="false"/>
        <w:spacing w:lineRule="auto" w:line="240" w:before="57" w:after="57"/>
        <w:jc w:val="both"/>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08"/>
          <w:tab w:val="left" w:pos="1440" w:leader="none"/>
        </w:tabs>
        <w:snapToGrid w:val="false"/>
        <w:spacing w:lineRule="auto" w:line="240" w:before="57" w:after="57"/>
        <w:jc w:val="both"/>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total do item.</w:t>
      </w:r>
    </w:p>
    <w:p>
      <w:pPr>
        <w:pStyle w:val="ListParagraph"/>
        <w:spacing w:lineRule="auto" w:line="240" w:before="57" w:after="57"/>
        <w:ind w:hanging="0" w:left="0"/>
        <w:contextualSpacing w:val="false"/>
        <w:jc w:val="both"/>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40" w:before="57" w:after="57"/>
        <w:ind w:hanging="0" w:left="0"/>
        <w:contextualSpacing w:val="false"/>
        <w:jc w:val="both"/>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40" w:before="57" w:after="57"/>
        <w:ind w:hanging="0" w:left="0"/>
        <w:contextualSpacing w:val="false"/>
        <w:jc w:val="both"/>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R$ 0,10. (dez centavos)</w:t>
      </w:r>
      <w:r>
        <w:rPr>
          <w:rFonts w:ascii="Verdana" w:hAnsi="Verdana"/>
          <w:i/>
          <w:iCs/>
          <w:sz w:val="20"/>
          <w:szCs w:val="20"/>
        </w:rPr>
        <w:t>.</w:t>
      </w:r>
    </w:p>
    <w:p>
      <w:pPr>
        <w:pStyle w:val="ListParagraph"/>
        <w:spacing w:lineRule="auto" w:line="240" w:before="57" w:after="57"/>
        <w:ind w:hanging="0" w:left="0"/>
        <w:contextualSpacing w:val="false"/>
        <w:jc w:val="both"/>
        <w:rPr/>
      </w:pPr>
      <w:r>
        <w:rPr>
          <w:rFonts w:cs="Arial" w:ascii="Verdana" w:hAnsi="Verdana"/>
          <w:color w:val="000000"/>
          <w:sz w:val="20"/>
          <w:szCs w:val="20"/>
        </w:rPr>
        <w:t xml:space="preserve">7.8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spacing w:lineRule="auto" w:line="240"/>
        <w:jc w:val="both"/>
        <w:rPr/>
      </w:pPr>
      <w:r>
        <w:rPr>
          <w:rFonts w:cs="Arial" w:ascii="Verdana" w:hAnsi="Verdana"/>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pPr>
        <w:pStyle w:val="Default"/>
        <w:spacing w:lineRule="auto" w:line="240"/>
        <w:jc w:val="both"/>
        <w:rPr/>
      </w:pPr>
      <w:r>
        <w:rPr>
          <w:rFonts w:ascii="Verdana" w:hAnsi="Verdana"/>
          <w:sz w:val="22"/>
          <w:szCs w:val="22"/>
        </w:rPr>
        <w:t xml:space="preserve">7.10 </w:t>
      </w:r>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Default"/>
        <w:spacing w:lineRule="auto" w:line="240"/>
        <w:jc w:val="both"/>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pPr>
        <w:pStyle w:val="Default"/>
        <w:spacing w:lineRule="auto" w:line="240"/>
        <w:jc w:val="both"/>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lineRule="auto" w:line="240"/>
        <w:jc w:val="both"/>
        <w:rPr/>
      </w:pPr>
      <w:r>
        <w:rPr>
          <w:rFonts w:ascii="Verdana" w:hAnsi="Verdana"/>
          <w:sz w:val="20"/>
          <w:szCs w:val="20"/>
        </w:rPr>
        <w:t>7.13 Após o reinício previsto no item supra, os licitantes serão convocados para apresentar lances intermediários.</w:t>
      </w:r>
    </w:p>
    <w:p>
      <w:pPr>
        <w:pStyle w:val="Normal"/>
        <w:spacing w:lineRule="auto" w:line="240" w:before="57" w:after="57"/>
        <w:jc w:val="both"/>
        <w:rPr/>
      </w:pPr>
      <w:r>
        <w:rPr>
          <w:rFonts w:ascii="Verdana" w:hAnsi="Verdana"/>
          <w:sz w:val="20"/>
          <w:szCs w:val="20"/>
        </w:rPr>
        <w:t>7.11. Após o término dos prazos estabelecidos nos itens anteriores, o sistema ordenará os lances segundo a ordem crescente de valores.</w:t>
      </w:r>
    </w:p>
    <w:p>
      <w:pPr>
        <w:pStyle w:val="Normal"/>
        <w:spacing w:lineRule="auto" w:line="240" w:before="57" w:after="57"/>
        <w:jc w:val="both"/>
        <w:rPr/>
      </w:pPr>
      <w:r>
        <w:rPr>
          <w:rFonts w:cs="Arial" w:ascii="Verdana" w:hAnsi="Verdana"/>
          <w:color w:val="000000"/>
          <w:sz w:val="20"/>
          <w:szCs w:val="20"/>
        </w:rPr>
        <w:t>7.13 Não serão aceitos dois ou mais lances de mesmo valor, prevalecendo aquele que for recebido e registrado em primeiro lugar.</w:t>
      </w:r>
    </w:p>
    <w:p>
      <w:pPr>
        <w:pStyle w:val="Normal"/>
        <w:spacing w:lineRule="auto" w:line="240" w:before="57" w:after="57"/>
        <w:jc w:val="both"/>
        <w:rPr/>
      </w:pPr>
      <w:r>
        <w:rPr>
          <w:rFonts w:cs="Arial" w:ascii="Verdana" w:hAnsi="Verdana"/>
          <w:color w:val="000000"/>
          <w:sz w:val="20"/>
          <w:szCs w:val="20"/>
        </w:rPr>
        <w:t xml:space="preserve">7.14 Durante o transcurso da sessão pública, os licitantes serão informados, em tempo real, do valor do menor lance registrado, vedada a identificação do licitante. </w:t>
      </w:r>
    </w:p>
    <w:p>
      <w:pPr>
        <w:pStyle w:val="Normal"/>
        <w:spacing w:lineRule="auto" w:line="240" w:before="57" w:after="57"/>
        <w:jc w:val="both"/>
        <w:rPr/>
      </w:pPr>
      <w:r>
        <w:rPr>
          <w:rFonts w:cs="Arial" w:ascii="Verdana" w:hAnsi="Verdana"/>
          <w:color w:val="000000"/>
          <w:sz w:val="20"/>
          <w:szCs w:val="20"/>
        </w:rPr>
        <w:t xml:space="preserve">7.15 No caso de desconexão com o Pregoeiro, no decorrer da etapa competitiva do Pregão, o sistema eletrônico poderá permanecer acessível aos licitantes para a recepção dos lances. </w:t>
      </w:r>
    </w:p>
    <w:p>
      <w:pPr>
        <w:pStyle w:val="Normal"/>
        <w:spacing w:lineRule="auto" w:line="240" w:before="57" w:after="57"/>
        <w:jc w:val="both"/>
        <w:rPr/>
      </w:pPr>
      <w:r>
        <w:rPr>
          <w:rFonts w:cs="Arial" w:ascii="Verdana" w:hAnsi="Verdana"/>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40" w:before="57" w:after="57"/>
        <w:jc w:val="both"/>
        <w:rPr/>
      </w:pPr>
      <w:r>
        <w:rPr>
          <w:rFonts w:cs="Arial" w:ascii="Verdana" w:hAnsi="Verdana"/>
          <w:color w:val="000000"/>
          <w:sz w:val="20"/>
          <w:szCs w:val="20"/>
        </w:rPr>
        <w:t>7.17 O Critério de julgamento adotado será o de menor preço, conforme definido neste Edital e seus anexos.</w:t>
      </w:r>
    </w:p>
    <w:p>
      <w:pPr>
        <w:pStyle w:val="Normal"/>
        <w:spacing w:lineRule="auto" w:line="240" w:before="57" w:after="57"/>
        <w:jc w:val="both"/>
        <w:rPr/>
      </w:pPr>
      <w:r>
        <w:rPr>
          <w:rFonts w:cs="Arial" w:ascii="Verdana" w:hAnsi="Verdana"/>
          <w:color w:val="000000"/>
          <w:sz w:val="20"/>
          <w:szCs w:val="20"/>
        </w:rPr>
        <w:t>7.18 Caso o licitante não apresente lances, concorrerá com o valor de sua proposta.</w:t>
      </w:r>
    </w:p>
    <w:p>
      <w:pPr>
        <w:pStyle w:val="Normal"/>
        <w:spacing w:lineRule="auto" w:line="240" w:before="57" w:after="57"/>
        <w:jc w:val="both"/>
        <w:rPr/>
      </w:pPr>
      <w:r>
        <w:rPr>
          <w:rFonts w:cs="Arial" w:ascii="Verdana" w:hAnsi="Verdana"/>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40" w:before="57" w:after="57"/>
        <w:jc w:val="both"/>
        <w:rPr/>
      </w:pPr>
      <w:r>
        <w:rPr>
          <w:rFonts w:cs="Arial" w:ascii="Verdana" w:hAnsi="Verdana"/>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40" w:before="57" w:after="57"/>
        <w:jc w:val="both"/>
        <w:rPr/>
      </w:pPr>
      <w:r>
        <w:rPr>
          <w:rFonts w:cs="Arial" w:ascii="Verdana" w:hAnsi="Verdana"/>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40" w:before="57" w:after="57"/>
        <w:jc w:val="both"/>
        <w:rPr/>
      </w:pPr>
      <w:r>
        <w:rPr>
          <w:rFonts w:cs="Arial" w:ascii="Verdana" w:hAnsi="Verdana"/>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40" w:before="57" w:after="57"/>
        <w:jc w:val="both"/>
        <w:rPr/>
      </w:pPr>
      <w:r>
        <w:rPr>
          <w:rFonts w:cs="Arial" w:ascii="Verdana" w:hAnsi="Verdana"/>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40" w:before="57" w:after="57"/>
        <w:jc w:val="both"/>
        <w:rPr/>
      </w:pPr>
      <w:r>
        <w:rPr>
          <w:rFonts w:cs="Arial" w:ascii="Verdana" w:hAnsi="Verdana"/>
          <w:color w:val="000000"/>
          <w:sz w:val="20"/>
          <w:szCs w:val="20"/>
        </w:rPr>
        <w:t xml:space="preserve">7.24 Só poderá haver empate entre propostas iguais (não seguidas de lances), ou entre lances finais da fase fechada do modo de disputa aberto e fechado. </w:t>
      </w:r>
    </w:p>
    <w:p>
      <w:pPr>
        <w:pStyle w:val="Normal"/>
        <w:spacing w:lineRule="auto" w:line="240" w:before="57" w:after="57"/>
        <w:jc w:val="both"/>
        <w:rPr/>
      </w:pPr>
      <w:r>
        <w:rPr>
          <w:rFonts w:cs="Arial" w:ascii="Verdana" w:hAnsi="Verdana"/>
          <w:color w:val="000000"/>
          <w:sz w:val="20"/>
          <w:szCs w:val="20"/>
        </w:rPr>
        <w:t>7.25 Havendo eventual empate entre propostas ou lances, o critério de desempate será aquele previsto no art. 60 da Lei nº 14.133, de 2021, assegurando-se a preferência, sucessivamente, aos bens produzidos ou prestados por:</w:t>
      </w:r>
    </w:p>
    <w:p>
      <w:pPr>
        <w:pStyle w:val="Normal"/>
        <w:spacing w:lineRule="auto" w:line="240" w:before="57" w:after="57"/>
        <w:jc w:val="both"/>
        <w:rPr/>
      </w:pPr>
      <w:r>
        <w:rPr>
          <w:rFonts w:cs="Arial" w:ascii="Verdana" w:hAnsi="Verdana"/>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40" w:before="57" w:after="57"/>
        <w:jc w:val="both"/>
        <w:rPr/>
      </w:pPr>
      <w:r>
        <w:rPr>
          <w:rFonts w:cs="Arial" w:ascii="Verdana" w:hAnsi="Verdana"/>
          <w:color w:val="000000"/>
          <w:sz w:val="20"/>
          <w:szCs w:val="20"/>
          <w:lang w:eastAsia="en-US"/>
        </w:rPr>
        <w:t>7.25.3 Por empresas brasileiras;</w:t>
      </w:r>
    </w:p>
    <w:p>
      <w:pPr>
        <w:pStyle w:val="Normal"/>
        <w:spacing w:lineRule="auto" w:line="240" w:before="57" w:after="57"/>
        <w:jc w:val="both"/>
        <w:rPr/>
      </w:pPr>
      <w:r>
        <w:rPr>
          <w:rFonts w:cs="Arial" w:ascii="Verdana" w:hAnsi="Verdana"/>
          <w:color w:val="000000"/>
          <w:sz w:val="20"/>
          <w:szCs w:val="20"/>
          <w:lang w:eastAsia="en-US"/>
        </w:rPr>
        <w:t>7.25.4 Por empresas que invistam em pesquisa e no desenvolvimento de tecnologia no País;</w:t>
      </w:r>
    </w:p>
    <w:p>
      <w:pPr>
        <w:pStyle w:val="Normal"/>
        <w:spacing w:lineRule="auto" w:line="240" w:before="57" w:after="57"/>
        <w:jc w:val="both"/>
        <w:rPr/>
      </w:pPr>
      <w:r>
        <w:rPr>
          <w:rFonts w:cs="Arial" w:ascii="Verdana" w:hAnsi="Verdana"/>
          <w:color w:val="000000"/>
          <w:sz w:val="20"/>
          <w:szCs w:val="20"/>
          <w:lang w:eastAsia="en-US"/>
        </w:rPr>
        <w:t xml:space="preserve">7.25.5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lineRule="auto" w:line="240" w:before="57" w:after="57"/>
        <w:jc w:val="both"/>
        <w:rPr/>
      </w:pPr>
      <w:r>
        <w:rPr>
          <w:rFonts w:cs="Arial" w:ascii="Verdana" w:hAnsi="Verdana"/>
          <w:color w:val="000000"/>
          <w:sz w:val="20"/>
          <w:szCs w:val="20"/>
          <w:lang w:eastAsia="en-US"/>
        </w:rPr>
        <w:t xml:space="preserve">7.26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40" w:before="57" w:after="57"/>
        <w:jc w:val="both"/>
        <w:rPr/>
      </w:pPr>
      <w:r>
        <w:rPr>
          <w:rFonts w:cs="Arial" w:ascii="Verdana" w:hAnsi="Verdana"/>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40" w:before="57" w:after="57"/>
        <w:ind w:hanging="0" w:left="0"/>
        <w:contextualSpacing w:val="false"/>
        <w:jc w:val="both"/>
        <w:rPr/>
      </w:pPr>
      <w:r>
        <w:rPr>
          <w:rFonts w:cs="Arial" w:ascii="Verdana" w:hAnsi="Verdana"/>
          <w:color w:val="000000"/>
          <w:sz w:val="20"/>
          <w:szCs w:val="20"/>
          <w:lang w:eastAsia="en-US"/>
        </w:rPr>
        <w:t>7.27.1 A negociação será realizada por meio do sistema, podendo ser acompanhada pelos demais licitantes.</w:t>
      </w:r>
    </w:p>
    <w:p>
      <w:pPr>
        <w:pStyle w:val="ListParagraph"/>
        <w:tabs>
          <w:tab w:val="clear" w:pos="708"/>
          <w:tab w:val="left" w:pos="-12" w:leader="none"/>
        </w:tabs>
        <w:spacing w:lineRule="auto" w:line="240" w:before="57" w:after="57"/>
        <w:ind w:hanging="0" w:left="0"/>
        <w:contextualSpacing w:val="false"/>
        <w:jc w:val="both"/>
        <w:rPr/>
      </w:pPr>
      <w:r>
        <w:rPr>
          <w:rFonts w:cs="Arial" w:ascii="Verdana" w:hAnsi="Verdana"/>
          <w:color w:val="000000"/>
          <w:sz w:val="20"/>
          <w:szCs w:val="20"/>
        </w:rPr>
        <w:t>7.27.2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08"/>
          <w:tab w:val="left" w:pos="-12" w:leader="none"/>
        </w:tabs>
        <w:spacing w:lineRule="auto" w:line="240" w:before="0" w:after="0"/>
        <w:ind w:hanging="0" w:left="0"/>
        <w:contextualSpacing w:val="false"/>
        <w:jc w:val="both"/>
        <w:rPr/>
      </w:pPr>
      <w:r>
        <w:rPr>
          <w:rFonts w:cs="Arial" w:ascii="Verdana" w:hAnsi="Verdana"/>
          <w:color w:val="000000"/>
          <w:sz w:val="20"/>
          <w:szCs w:val="20"/>
        </w:rPr>
        <w:t>7.28 Após a negociação do preço, o Pregoeiro iniciará a fase de aceitação e julgamento da proposta.</w:t>
      </w:r>
    </w:p>
    <w:p>
      <w:pPr>
        <w:pStyle w:val="ListParagraph"/>
        <w:tabs>
          <w:tab w:val="clear" w:pos="708"/>
          <w:tab w:val="left" w:pos="-12" w:leader="none"/>
        </w:tabs>
        <w:spacing w:lineRule="auto" w:line="240" w:before="0" w:after="0"/>
        <w:ind w:hanging="0" w:left="0"/>
        <w:contextualSpacing w:val="false"/>
        <w:jc w:val="both"/>
        <w:rPr>
          <w:rFonts w:ascii="Verdana" w:hAnsi="Verdana" w:cs="Arial"/>
          <w:color w:val="000000"/>
        </w:rPr>
      </w:pPr>
      <w:r>
        <w:rPr>
          <w:rFonts w:cs="Arial" w:ascii="Verdana" w:hAnsi="Verdana"/>
          <w:color w:val="000000"/>
        </w:rPr>
      </w:r>
    </w:p>
    <w:p>
      <w:pPr>
        <w:pStyle w:val="Nivel01"/>
        <w:numPr>
          <w:ilvl w:val="0"/>
          <w:numId w:val="2"/>
        </w:numPr>
        <w:tabs>
          <w:tab w:val="clear" w:pos="567"/>
          <w:tab w:val="left" w:pos="517" w:leader="none"/>
        </w:tabs>
        <w:spacing w:lineRule="auto" w:line="240" w:before="0" w:after="0"/>
        <w:ind w:hanging="0" w:left="0"/>
        <w:rPr/>
      </w:pPr>
      <w:r>
        <w:rPr>
          <w:rFonts w:cs="Arial" w:ascii="Verdana" w:hAnsi="Verdana"/>
          <w:lang w:eastAsia="en-US"/>
        </w:rPr>
        <w:t>DA ACEITABILIDADE DA PROPOSTA VENCEDORA.</w:t>
      </w:r>
    </w:p>
    <w:p>
      <w:pPr>
        <w:pStyle w:val="ListParagraph"/>
        <w:numPr>
          <w:ilvl w:val="1"/>
          <w:numId w:val="2"/>
        </w:numPr>
        <w:tabs>
          <w:tab w:val="clear" w:pos="708"/>
          <w:tab w:val="left" w:pos="517" w:leader="none"/>
        </w:tabs>
        <w:spacing w:lineRule="auto" w:line="240" w:before="57" w:after="57"/>
        <w:ind w:hanging="0" w:left="0"/>
        <w:contextualSpacing w:val="false"/>
        <w:jc w:val="both"/>
        <w:rPr/>
      </w:pPr>
      <w:bookmarkStart w:id="12"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292"/>
          <w:sz w:val="20"/>
          <w:u w:val="single"/>
          <w:szCs w:val="20"/>
          <w:rFonts w:cs="Arial" w:ascii="Verdana" w:hAnsi="Verdana"/>
          <w:color w:val="000080"/>
        </w:rPr>
        <w:instrText xml:space="preserve"> HYPERLINK "http://www.planalto.gov.br/ccivil_03/_ato2019-2022/2021/lei/L14133.htm" \l "art14"</w:instrText>
      </w:r>
      <w:r>
        <w:rPr>
          <w:rStyle w:val="ListLabel292"/>
          <w:sz w:val="20"/>
          <w:u w:val="single"/>
          <w:szCs w:val="20"/>
          <w:rFonts w:cs="Arial" w:ascii="Verdana" w:hAnsi="Verdana"/>
          <w:color w:val="000080"/>
        </w:rPr>
        <w:fldChar w:fldCharType="separate"/>
      </w:r>
      <w:r>
        <w:rPr>
          <w:rStyle w:val="ListLabel292"/>
          <w:rFonts w:cs="Arial" w:ascii="Verdana" w:hAnsi="Verdana"/>
          <w:color w:val="000080"/>
          <w:sz w:val="20"/>
          <w:szCs w:val="20"/>
          <w:u w:val="single"/>
        </w:rPr>
        <w:t>art. 14 da Lei nº 14.133/2021</w:t>
      </w:r>
      <w:r>
        <w:rPr>
          <w:rStyle w:val="ListLabel292"/>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2"/>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08"/>
          <w:tab w:val="left" w:pos="517" w:leader="none"/>
        </w:tabs>
        <w:spacing w:lineRule="auto" w:line="240" w:before="57" w:after="57"/>
        <w:ind w:hanging="0" w:left="0"/>
        <w:contextualSpacing w:val="false"/>
        <w:jc w:val="both"/>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08"/>
          <w:tab w:val="left" w:pos="517" w:leader="none"/>
        </w:tabs>
        <w:spacing w:lineRule="auto" w:line="240"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292"/>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292"/>
          <w:sz w:val="20"/>
          <w:u w:val="single"/>
          <w:szCs w:val="20"/>
          <w:rFonts w:cs="Arial" w:ascii="Verdana" w:hAnsi="Verdana"/>
          <w:color w:val="000080"/>
        </w:rPr>
        <w:fldChar w:fldCharType="separate"/>
      </w:r>
      <w:r>
        <w:rPr>
          <w:rStyle w:val="ListLabel292"/>
          <w:rFonts w:cs="Arial" w:ascii="Verdana" w:hAnsi="Verdana"/>
          <w:color w:val="000080"/>
          <w:sz w:val="20"/>
          <w:szCs w:val="20"/>
          <w:u w:val="single"/>
        </w:rPr>
        <w:t>artigo 29 a 35 da IN SEGES nº 73, de 30 de setembro de 2022</w:t>
      </w:r>
      <w:r>
        <w:rPr>
          <w:rStyle w:val="ListLabel292"/>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08"/>
          <w:tab w:val="left" w:pos="517" w:leader="none"/>
        </w:tabs>
        <w:spacing w:lineRule="auto" w:line="240" w:before="57" w:after="57"/>
        <w:ind w:hanging="0" w:left="0"/>
        <w:jc w:val="both"/>
        <w:rPr/>
      </w:pPr>
      <w:r>
        <w:rPr>
          <w:rFonts w:ascii="Verdana" w:hAnsi="Verdana"/>
          <w:sz w:val="20"/>
          <w:szCs w:val="20"/>
        </w:rPr>
        <w:t xml:space="preserve">Será desclassificada a proposta ou o lance vencedor, que: </w:t>
      </w:r>
    </w:p>
    <w:p>
      <w:pPr>
        <w:pStyle w:val="Normal"/>
        <w:tabs>
          <w:tab w:val="clear" w:pos="708"/>
          <w:tab w:val="left" w:pos="517" w:leader="none"/>
        </w:tabs>
        <w:spacing w:lineRule="auto" w:line="240" w:before="57" w:after="57"/>
        <w:jc w:val="both"/>
        <w:rPr/>
      </w:pPr>
      <w:r>
        <w:rPr>
          <w:rFonts w:ascii="Verdana" w:hAnsi="Verdana"/>
          <w:sz w:val="20"/>
          <w:szCs w:val="20"/>
        </w:rPr>
        <w:t xml:space="preserve">8.4.1 não estiverem em conformidade com os requisitos estabelecidos neste edital; </w:t>
      </w:r>
    </w:p>
    <w:p>
      <w:pPr>
        <w:pStyle w:val="Normal"/>
        <w:tabs>
          <w:tab w:val="clear" w:pos="708"/>
          <w:tab w:val="left" w:pos="517" w:leader="none"/>
        </w:tabs>
        <w:spacing w:lineRule="auto" w:line="240" w:before="57" w:after="57"/>
        <w:jc w:val="both"/>
        <w:rPr/>
      </w:pPr>
      <w:r>
        <w:rPr>
          <w:rFonts w:ascii="Verdana" w:hAnsi="Verdana"/>
          <w:sz w:val="20"/>
          <w:szCs w:val="20"/>
        </w:rPr>
        <w:t>8.4.2 contenha vício insanável ou ilegalidade;</w:t>
      </w:r>
    </w:p>
    <w:p>
      <w:pPr>
        <w:pStyle w:val="Normal"/>
        <w:tabs>
          <w:tab w:val="clear" w:pos="708"/>
          <w:tab w:val="left" w:pos="517" w:leader="none"/>
        </w:tabs>
        <w:spacing w:lineRule="auto" w:line="240" w:before="57" w:after="57"/>
        <w:jc w:val="both"/>
        <w:rPr/>
      </w:pPr>
      <w:r>
        <w:rPr>
          <w:rFonts w:ascii="Verdana" w:hAnsi="Verdana"/>
          <w:sz w:val="20"/>
          <w:szCs w:val="20"/>
        </w:rPr>
        <w:t>8.4.3 não apresente as especificações técnicas exigidas pelo Termo de Referência;</w:t>
      </w:r>
    </w:p>
    <w:p>
      <w:pPr>
        <w:pStyle w:val="Nivel3"/>
        <w:numPr>
          <w:ilvl w:val="0"/>
          <w:numId w:val="0"/>
        </w:numPr>
        <w:suppressAutoHyphens w:val="false"/>
        <w:spacing w:lineRule="auto" w:line="240"/>
        <w:ind w:hanging="0" w:left="0"/>
        <w:rPr/>
      </w:pPr>
      <w:r>
        <w:rPr>
          <w:rFonts w:ascii="Verdana" w:hAnsi="Verdana"/>
        </w:rPr>
        <w:t xml:space="preserve">8.4.4 apresentar preços inexequíveis ou permanecerem acima do preço máximo definido para a contratação; </w:t>
      </w:r>
    </w:p>
    <w:p>
      <w:pPr>
        <w:pStyle w:val="Normal"/>
        <w:tabs>
          <w:tab w:val="clear" w:pos="708"/>
          <w:tab w:val="left" w:pos="517" w:leader="none"/>
        </w:tabs>
        <w:spacing w:lineRule="auto" w:line="240" w:before="57" w:after="57"/>
        <w:jc w:val="both"/>
        <w:rPr/>
      </w:pPr>
      <w:r>
        <w:rPr>
          <w:rFonts w:ascii="Verdana" w:hAnsi="Verdana"/>
          <w:sz w:val="20"/>
          <w:szCs w:val="20"/>
        </w:rPr>
        <w:t>8.4.5 apresentar desconformidade com quaisquer outras exigências deste Edital ou seus anexos, desde que insanável.</w:t>
      </w:r>
    </w:p>
    <w:p>
      <w:pPr>
        <w:pStyle w:val="Normal"/>
        <w:numPr>
          <w:ilvl w:val="1"/>
          <w:numId w:val="2"/>
        </w:numPr>
        <w:tabs>
          <w:tab w:val="clear" w:pos="708"/>
          <w:tab w:val="left" w:pos="517" w:leader="none"/>
        </w:tabs>
        <w:spacing w:lineRule="auto" w:line="240" w:before="57" w:after="57"/>
        <w:ind w:hanging="0" w:left="0"/>
        <w:jc w:val="both"/>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ListParagraph"/>
        <w:numPr>
          <w:ilvl w:val="1"/>
          <w:numId w:val="2"/>
        </w:numPr>
        <w:tabs>
          <w:tab w:val="clear" w:pos="708"/>
          <w:tab w:val="left" w:pos="517" w:leader="none"/>
        </w:tabs>
        <w:spacing w:lineRule="auto" w:line="240" w:before="57" w:after="57"/>
        <w:ind w:hanging="0" w:left="0"/>
        <w:contextualSpacing w:val="false"/>
        <w:jc w:val="both"/>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08"/>
          <w:tab w:val="left" w:pos="517" w:leader="none"/>
        </w:tabs>
        <w:spacing w:lineRule="auto" w:line="240" w:before="57" w:after="57"/>
        <w:ind w:hanging="0" w:left="0"/>
        <w:contextualSpacing w:val="false"/>
        <w:jc w:val="both"/>
        <w:rPr/>
      </w:pPr>
      <w:r>
        <w:rPr>
          <w:rFonts w:cs="Arial" w:ascii="Verdana" w:hAnsi="Verdana"/>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08"/>
          <w:tab w:val="left" w:pos="517" w:leader="none"/>
        </w:tabs>
        <w:spacing w:lineRule="auto" w:line="240" w:before="57" w:after="57"/>
        <w:ind w:hanging="0" w:left="0"/>
        <w:contextualSpacing w:val="false"/>
        <w:jc w:val="both"/>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08"/>
          <w:tab w:val="left" w:pos="517" w:leader="none"/>
        </w:tabs>
        <w:spacing w:lineRule="auto" w:line="240" w:before="57" w:after="57"/>
        <w:ind w:hanging="0" w:left="0"/>
        <w:contextualSpacing w:val="false"/>
        <w:jc w:val="both"/>
        <w:rPr/>
      </w:pPr>
      <w:r>
        <w:rPr>
          <w:rFonts w:cs="Arial" w:ascii="Verdana" w:hAnsi="Verdana"/>
          <w:color w:val="000000"/>
          <w:sz w:val="20"/>
          <w:szCs w:val="20"/>
          <w:lang w:eastAsia="en-US"/>
        </w:rPr>
        <w:t>8.7.1 É facultado ao pregoeiro prorrogar o prazo estabelecido, a partir de solicitação fundamentada feita no chat pelo licitante, antes de findo o prazo.</w:t>
      </w:r>
    </w:p>
    <w:p>
      <w:pPr>
        <w:pStyle w:val="ListParagraph"/>
        <w:numPr>
          <w:ilvl w:val="1"/>
          <w:numId w:val="2"/>
        </w:numPr>
        <w:tabs>
          <w:tab w:val="clear" w:pos="708"/>
          <w:tab w:val="left" w:pos="517" w:leader="none"/>
        </w:tabs>
        <w:spacing w:lineRule="auto" w:line="240" w:before="57" w:after="57"/>
        <w:ind w:hanging="0" w:left="0"/>
        <w:contextualSpacing w:val="false"/>
        <w:jc w:val="both"/>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40" w:before="57" w:after="57"/>
        <w:ind w:hanging="0" w:left="0"/>
        <w:jc w:val="both"/>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40" w:before="57" w:after="57"/>
        <w:ind w:hanging="0" w:left="0"/>
        <w:jc w:val="both"/>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40" w:before="57" w:after="57"/>
        <w:ind w:hanging="0" w:left="0"/>
        <w:jc w:val="both"/>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40" w:before="57" w:after="57"/>
        <w:ind w:hanging="0" w:left="0"/>
        <w:jc w:val="both"/>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40" w:before="57" w:after="57"/>
        <w:jc w:val="both"/>
        <w:rPr>
          <w:rFonts w:ascii="Verdana" w:hAnsi="Verdana" w:cs="Arial"/>
          <w:color w:val="000000"/>
        </w:rPr>
      </w:pPr>
      <w:r>
        <w:rPr>
          <w:rFonts w:cs="Arial" w:ascii="Verdana" w:hAnsi="Verdana"/>
          <w:color w:val="000000"/>
        </w:rPr>
      </w:r>
    </w:p>
    <w:p>
      <w:pPr>
        <w:pStyle w:val="Nivel01"/>
        <w:numPr>
          <w:ilvl w:val="0"/>
          <w:numId w:val="2"/>
        </w:numPr>
        <w:spacing w:lineRule="auto" w:line="240" w:before="57" w:after="57"/>
        <w:ind w:hanging="0" w:left="0"/>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lineRule="auto" w:line="240" w:before="57" w:after="57"/>
        <w:ind w:hanging="0" w:left="0"/>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57" w:after="57"/>
        <w:ind w:hanging="0" w:left="0"/>
        <w:contextualSpacing w:val="false"/>
        <w:jc w:val="both"/>
        <w:rPr/>
      </w:pPr>
      <w:r>
        <w:rPr>
          <w:rFonts w:cs="Arial" w:ascii="Verdana" w:hAnsi="Verdana"/>
          <w:sz w:val="20"/>
          <w:szCs w:val="20"/>
          <w:lang w:eastAsia="ar-SA"/>
        </w:rPr>
        <w:t>a) SICAF;</w:t>
      </w:r>
    </w:p>
    <w:p>
      <w:pPr>
        <w:pStyle w:val="ListParagraph"/>
        <w:spacing w:lineRule="auto" w:line="240" w:before="57" w:after="57"/>
        <w:ind w:hanging="0"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4">
        <w:r>
          <w:rPr>
            <w:rStyle w:val="ListLabel293"/>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40" w:before="57" w:after="57"/>
        <w:ind w:hanging="0"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5">
        <w:r>
          <w:rPr>
            <w:rStyle w:val="ListLabel293"/>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40" w:before="57" w:after="57"/>
        <w:ind w:hanging="0" w:left="0"/>
        <w:contextualSpacing w:val="false"/>
        <w:jc w:val="both"/>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40" w:before="57" w:after="5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6">
        <w:r>
          <w:rPr>
            <w:rStyle w:val="ListLabel294"/>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40" w:before="57" w:after="57"/>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7">
        <w:r>
          <w:rPr>
            <w:rStyle w:val="ListLabel293"/>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40" w:before="57" w:after="57"/>
        <w:jc w:val="both"/>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40" w:before="57" w:after="57"/>
        <w:ind w:hanging="0" w:left="0"/>
        <w:contextualSpacing w:val="false"/>
        <w:jc w:val="both"/>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40" w:before="57" w:after="57"/>
        <w:ind w:hanging="0" w:left="0"/>
        <w:contextualSpacing w:val="false"/>
        <w:jc w:val="both"/>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40" w:before="57" w:after="57"/>
        <w:ind w:hanging="0" w:left="0"/>
        <w:contextualSpacing w:val="false"/>
        <w:jc w:val="both"/>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40" w:before="57" w:after="57"/>
        <w:ind w:hanging="0" w:left="0"/>
        <w:contextualSpacing w:val="false"/>
        <w:jc w:val="both"/>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40" w:before="57" w:after="57"/>
        <w:ind w:hanging="0" w:left="0"/>
        <w:contextualSpacing w:val="false"/>
        <w:jc w:val="both"/>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08"/>
          <w:tab w:val="left" w:pos="567" w:leader="none"/>
        </w:tabs>
        <w:spacing w:lineRule="auto" w:line="240" w:before="57" w:after="57"/>
        <w:ind w:hanging="0" w:left="0"/>
        <w:contextualSpacing w:val="false"/>
        <w:jc w:val="both"/>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40" w:before="57" w:after="57"/>
        <w:ind w:hanging="0" w:left="0"/>
        <w:contextualSpacing w:val="false"/>
        <w:jc w:val="both"/>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40" w:before="57" w:after="57"/>
        <w:ind w:hanging="0" w:left="0"/>
        <w:contextualSpacing w:val="false"/>
        <w:jc w:val="both"/>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40" w:before="57" w:after="57"/>
        <w:ind w:hanging="0" w:left="0"/>
        <w:contextualSpacing w:val="false"/>
        <w:jc w:val="both"/>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lineRule="auto" w:line="240" w:before="57" w:after="57"/>
        <w:ind w:hanging="0" w:left="0"/>
        <w:contextualSpacing/>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2"/>
        </w:numPr>
        <w:spacing w:lineRule="auto" w:line="240" w:before="57" w:after="57"/>
        <w:ind w:hanging="0" w:left="0"/>
        <w:contextualSpacing/>
        <w:rPr/>
      </w:pPr>
      <w:r>
        <w:rPr>
          <w:rFonts w:cs="Arial"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lineRule="auto" w:line="240" w:before="57" w:after="57"/>
        <w:ind w:hanging="0" w:left="0"/>
        <w:contextualSpacing/>
        <w:rPr/>
      </w:pPr>
      <w:r>
        <w:rPr>
          <w:rFonts w:cs="Arial" w:ascii="Verdana" w:hAnsi="Verdana"/>
          <w:color w:val="000000"/>
          <w:sz w:val="20"/>
          <w:szCs w:val="20"/>
        </w:rPr>
        <w:t>Não serão aceitos documentos de habilitação com indicação de CNPJ/CPF diferentes, salvo aqueles legalmente permitidos.</w:t>
      </w:r>
    </w:p>
    <w:p>
      <w:pPr>
        <w:pStyle w:val="ListParagraph"/>
        <w:numPr>
          <w:ilvl w:val="1"/>
          <w:numId w:val="2"/>
        </w:numPr>
        <w:spacing w:lineRule="auto" w:line="240" w:before="57" w:after="57"/>
        <w:ind w:hanging="0" w:left="0"/>
        <w:contextualSpacing w:val="false"/>
        <w:rPr/>
      </w:pPr>
      <w:r>
        <w:rPr>
          <w:rFonts w:cs="Arial" w:ascii="Verdana" w:hAnsi="Verdana"/>
          <w:color w:val="000000"/>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lineRule="auto" w:line="240" w:before="57" w:after="57"/>
        <w:ind w:hanging="0" w:left="0"/>
        <w:contextualSpacing w:val="false"/>
        <w:rPr/>
      </w:pPr>
      <w:r>
        <w:rPr>
          <w:rFonts w:cs="Arial" w:ascii="Verdana" w:hAnsi="Verdana"/>
          <w:color w:val="000000"/>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40" w:before="57" w:after="57"/>
        <w:ind w:hanging="0" w:left="0"/>
        <w:contextualSpacing w:val="false"/>
        <w:jc w:val="both"/>
        <w:rPr/>
      </w:pPr>
      <w:r>
        <w:rPr>
          <w:rFonts w:cs="Arial" w:ascii="Verdana" w:hAnsi="Verdana"/>
          <w:b/>
          <w:bCs/>
          <w:color w:val="000000"/>
          <w:sz w:val="20"/>
          <w:szCs w:val="20"/>
        </w:rPr>
        <w:t>Habilitação jurídica:</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8">
        <w:r>
          <w:rPr>
            <w:rStyle w:val="ListLabel295"/>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40" w:before="57" w:after="57"/>
        <w:ind w:hanging="0" w:left="0"/>
        <w:contextualSpacing w:val="false"/>
        <w:jc w:val="both"/>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00"/>
          <w:sz w:val="20"/>
          <w:szCs w:val="20"/>
        </w:rPr>
        <w:t>:</w:t>
      </w:r>
    </w:p>
    <w:p>
      <w:pPr>
        <w:pStyle w:val="Normal"/>
        <w:numPr>
          <w:ilvl w:val="2"/>
          <w:numId w:val="2"/>
        </w:numPr>
        <w:snapToGrid w:val="false"/>
        <w:spacing w:lineRule="auto" w:line="240" w:before="57" w:after="57"/>
        <w:ind w:hanging="0" w:left="0"/>
        <w:jc w:val="both"/>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40" w:before="57" w:after="57"/>
        <w:ind w:hanging="0" w:left="0"/>
        <w:jc w:val="both"/>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40" w:before="57" w:after="57"/>
        <w:ind w:hanging="0" w:left="0"/>
        <w:jc w:val="both"/>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40" w:before="57" w:after="57"/>
        <w:ind w:hanging="0" w:left="0"/>
        <w:jc w:val="both"/>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40" w:before="57" w:after="57"/>
        <w:ind w:hanging="0" w:left="0"/>
        <w:jc w:val="both"/>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40" w:before="57" w:after="57"/>
        <w:ind w:hanging="0" w:left="0"/>
        <w:jc w:val="both"/>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40" w:before="57" w:after="57"/>
        <w:ind w:hanging="0" w:left="0"/>
        <w:jc w:val="both"/>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40" w:before="57" w:after="57"/>
        <w:ind w:hanging="0" w:left="0"/>
        <w:contextualSpacing w:val="false"/>
        <w:jc w:val="both"/>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08"/>
          <w:tab w:val="left" w:pos="850" w:leader="none"/>
        </w:tabs>
        <w:snapToGrid w:val="false"/>
        <w:spacing w:lineRule="auto" w:line="240" w:before="57" w:after="57"/>
        <w:ind w:hanging="0" w:left="0"/>
        <w:jc w:val="both"/>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08"/>
          <w:tab w:val="left" w:pos="850" w:leader="none"/>
        </w:tabs>
        <w:snapToGrid w:val="false"/>
        <w:spacing w:lineRule="auto" w:line="240" w:before="57" w:after="57"/>
        <w:ind w:hanging="0" w:left="0"/>
        <w:jc w:val="both"/>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08"/>
          <w:tab w:val="left" w:pos="850" w:leader="none"/>
        </w:tabs>
        <w:snapToGrid w:val="false"/>
        <w:spacing w:lineRule="auto" w:line="240" w:before="57" w:after="57"/>
        <w:ind w:hanging="0" w:left="0"/>
        <w:jc w:val="both"/>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08"/>
          <w:tab w:val="left" w:pos="850" w:leader="none"/>
        </w:tabs>
        <w:snapToGrid w:val="false"/>
        <w:spacing w:lineRule="auto" w:line="240" w:before="57" w:after="57"/>
        <w:ind w:hanging="0" w:left="0"/>
        <w:jc w:val="both"/>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40" w:before="57" w:after="57"/>
        <w:ind w:hanging="0" w:left="0"/>
        <w:contextualSpacing w:val="false"/>
        <w:jc w:val="both"/>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tabs>
          <w:tab w:val="clear" w:pos="708"/>
          <w:tab w:val="left" w:pos="850" w:leader="none"/>
        </w:tabs>
        <w:snapToGrid w:val="false"/>
        <w:spacing w:lineRule="auto" w:line="240" w:before="113" w:after="113"/>
        <w:jc w:val="both"/>
        <w:rPr/>
      </w:pPr>
      <w:r>
        <w:rPr>
          <w:rFonts w:cs="Arial" w:ascii="Verdana" w:hAnsi="Verdana"/>
          <w:bCs/>
          <w:iCs/>
          <w:color w:val="000000"/>
          <w:sz w:val="20"/>
          <w:szCs w:val="20"/>
        </w:rPr>
        <w:t xml:space="preserve">9.11.1. </w:t>
      </w: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Normal"/>
        <w:tabs>
          <w:tab w:val="clear" w:pos="708"/>
          <w:tab w:val="left" w:pos="426" w:leader="none"/>
        </w:tabs>
        <w:snapToGrid w:val="false"/>
        <w:spacing w:lineRule="auto" w:line="240" w:before="57" w:after="57"/>
        <w:jc w:val="both"/>
        <w:rPr/>
      </w:pPr>
      <w:r>
        <w:rPr>
          <w:rFonts w:cs="Arial" w:ascii="Verdana" w:hAnsi="Verdana"/>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2"/>
        </w:numPr>
        <w:tabs>
          <w:tab w:val="clear" w:pos="708"/>
          <w:tab w:val="left" w:pos="617" w:leader="none"/>
        </w:tabs>
        <w:snapToGrid w:val="false"/>
        <w:spacing w:lineRule="auto" w:line="240" w:before="57" w:after="57"/>
        <w:ind w:hanging="0" w:left="0"/>
        <w:contextualSpacing w:val="false"/>
        <w:jc w:val="both"/>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tabs>
          <w:tab w:val="clear" w:pos="708"/>
          <w:tab w:val="left" w:pos="617" w:leader="none"/>
        </w:tabs>
        <w:snapToGrid w:val="false"/>
        <w:spacing w:lineRule="auto" w:line="240" w:before="57" w:after="57"/>
        <w:ind w:hanging="0" w:left="0"/>
        <w:contextualSpacing w:val="false"/>
        <w:jc w:val="both"/>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7"/>
        </w:numPr>
        <w:tabs>
          <w:tab w:val="clear" w:pos="708"/>
          <w:tab w:val="left" w:pos="850" w:leader="none"/>
        </w:tabs>
        <w:spacing w:lineRule="auto" w:line="240" w:before="57" w:after="57"/>
        <w:ind w:hanging="0" w:left="0"/>
        <w:contextualSpacing w:val="false"/>
        <w:jc w:val="both"/>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28"/>
        </w:numPr>
        <w:tabs>
          <w:tab w:val="clear" w:pos="708"/>
          <w:tab w:val="left" w:pos="517" w:leader="none"/>
        </w:tabs>
        <w:spacing w:lineRule="auto" w:line="240" w:before="57" w:after="57"/>
        <w:ind w:hanging="0" w:left="0"/>
        <w:contextualSpacing w:val="false"/>
        <w:jc w:val="both"/>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29"/>
        </w:numPr>
        <w:tabs>
          <w:tab w:val="clear" w:pos="708"/>
          <w:tab w:val="left" w:pos="517" w:leader="none"/>
        </w:tabs>
        <w:spacing w:lineRule="auto" w:line="240" w:before="57" w:after="57"/>
        <w:ind w:hanging="0" w:left="0"/>
        <w:contextualSpacing w:val="false"/>
        <w:jc w:val="both"/>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30"/>
        </w:numPr>
        <w:tabs>
          <w:tab w:val="clear" w:pos="708"/>
          <w:tab w:val="left" w:pos="517" w:leader="none"/>
        </w:tabs>
        <w:spacing w:lineRule="auto" w:line="240" w:before="57" w:after="57"/>
        <w:ind w:hanging="0" w:left="0"/>
        <w:contextualSpacing w:val="false"/>
        <w:jc w:val="both"/>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31"/>
        </w:numPr>
        <w:tabs>
          <w:tab w:val="clear" w:pos="708"/>
          <w:tab w:val="left" w:pos="517" w:leader="none"/>
        </w:tabs>
        <w:spacing w:lineRule="auto" w:line="240" w:before="57" w:after="57"/>
        <w:ind w:hanging="0" w:left="0"/>
        <w:contextualSpacing w:val="false"/>
        <w:jc w:val="both"/>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1"/>
          <w:numId w:val="32"/>
        </w:numPr>
        <w:tabs>
          <w:tab w:val="clear" w:pos="708"/>
          <w:tab w:val="left" w:pos="517" w:leader="none"/>
        </w:tabs>
        <w:spacing w:lineRule="auto" w:line="240" w:before="57" w:after="57"/>
        <w:ind w:hanging="0" w:left="0"/>
        <w:contextualSpacing w:val="false"/>
        <w:jc w:val="both"/>
        <w:rPr/>
      </w:pPr>
      <w:r>
        <w:rPr>
          <w:rFonts w:cs="Arial" w:ascii="Verdana" w:hAnsi="Verdana"/>
          <w:color w:val="000000"/>
          <w:sz w:val="20"/>
          <w:szCs w:val="20"/>
        </w:rPr>
        <w:t>Constatado o atendimento às exigências de habilitação fixadas no Edital, o licitante será declarado vencedor.</w:t>
      </w:r>
    </w:p>
    <w:p>
      <w:pPr>
        <w:pStyle w:val="ListParagraph"/>
        <w:numPr>
          <w:ilvl w:val="0"/>
          <w:numId w:val="0"/>
        </w:numPr>
        <w:tabs>
          <w:tab w:val="clear" w:pos="708"/>
          <w:tab w:val="left" w:pos="517" w:leader="none"/>
        </w:tabs>
        <w:spacing w:lineRule="auto" w:line="240" w:before="57" w:after="57"/>
        <w:ind w:hanging="0" w:left="0"/>
        <w:contextualSpacing w:val="false"/>
        <w:jc w:val="both"/>
        <w:rPr>
          <w:rFonts w:ascii="Verdana" w:hAnsi="Verdana" w:cs="Arial"/>
          <w:color w:val="000000"/>
        </w:rPr>
      </w:pPr>
      <w:r>
        <w:rPr>
          <w:rFonts w:cs="Arial" w:ascii="Verdana" w:hAnsi="Verdana"/>
          <w:color w:val="000000"/>
        </w:rPr>
      </w:r>
    </w:p>
    <w:p>
      <w:pPr>
        <w:pStyle w:val="Nivel01"/>
        <w:numPr>
          <w:ilvl w:val="0"/>
          <w:numId w:val="2"/>
        </w:numPr>
        <w:spacing w:lineRule="auto" w:line="240" w:before="57" w:after="57"/>
        <w:ind w:hanging="0" w:left="0"/>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2"/>
        </w:numPr>
        <w:tabs>
          <w:tab w:val="clear" w:pos="708"/>
          <w:tab w:val="left" w:pos="617" w:leader="none"/>
        </w:tabs>
        <w:spacing w:lineRule="auto" w:line="240" w:before="57" w:after="57"/>
        <w:ind w:hanging="0" w:left="0"/>
        <w:contextualSpacing w:val="false"/>
        <w:jc w:val="both"/>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08"/>
          <w:tab w:val="left" w:pos="617" w:leader="none"/>
          <w:tab w:val="left" w:pos="900" w:leader="none"/>
        </w:tabs>
        <w:spacing w:lineRule="auto" w:line="240" w:before="57" w:after="57"/>
        <w:ind w:hanging="0" w:left="0"/>
        <w:jc w:val="both"/>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08"/>
          <w:tab w:val="left" w:pos="617" w:leader="none"/>
          <w:tab w:val="left" w:pos="900" w:leader="none"/>
        </w:tabs>
        <w:spacing w:lineRule="auto" w:line="240" w:before="57" w:after="57"/>
        <w:ind w:hanging="0" w:left="0"/>
        <w:jc w:val="both"/>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08"/>
          <w:tab w:val="left" w:pos="617" w:leader="none"/>
          <w:tab w:val="left" w:pos="900" w:leader="none"/>
        </w:tabs>
        <w:spacing w:lineRule="auto" w:line="240" w:before="57" w:after="57"/>
        <w:ind w:hanging="0" w:left="0"/>
        <w:jc w:val="both"/>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40" w:before="57" w:after="57"/>
        <w:ind w:hanging="0" w:left="0"/>
        <w:contextualSpacing w:val="false"/>
        <w:jc w:val="both"/>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08"/>
          <w:tab w:val="left" w:pos="850" w:leader="none"/>
        </w:tabs>
        <w:spacing w:lineRule="auto" w:line="240" w:before="57" w:after="57"/>
        <w:ind w:hanging="0" w:left="0"/>
        <w:jc w:val="both"/>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40" w:before="57" w:after="57"/>
        <w:ind w:hanging="0" w:left="0"/>
        <w:contextualSpacing w:val="false"/>
        <w:jc w:val="both"/>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08"/>
          <w:tab w:val="left" w:pos="850" w:leader="none"/>
        </w:tabs>
        <w:spacing w:lineRule="auto" w:line="240" w:before="57" w:after="57"/>
        <w:ind w:hanging="0" w:left="0"/>
        <w:jc w:val="both"/>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40" w:before="57" w:after="57"/>
        <w:ind w:hanging="0" w:left="0"/>
        <w:contextualSpacing w:val="false"/>
        <w:jc w:val="both"/>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40" w:before="57" w:after="57"/>
        <w:ind w:hanging="0" w:left="0"/>
        <w:contextualSpacing w:val="false"/>
        <w:jc w:val="both"/>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40" w:before="57" w:after="57"/>
        <w:ind w:hanging="0" w:left="0"/>
        <w:contextualSpacing w:val="false"/>
        <w:jc w:val="both"/>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lineRule="auto" w:line="240" w:before="57" w:after="57"/>
        <w:ind w:hanging="0" w:left="0"/>
        <w:contextualSpacing w:val="false"/>
        <w:jc w:val="both"/>
        <w:rPr>
          <w:rFonts w:ascii="Verdana" w:hAnsi="Verdana" w:cs="Arial"/>
          <w:color w:val="000000"/>
        </w:rPr>
      </w:pPr>
      <w:r>
        <w:rPr>
          <w:rFonts w:cs="Arial" w:ascii="Verdana" w:hAnsi="Verdana"/>
          <w:color w:val="000000"/>
        </w:rPr>
      </w:r>
    </w:p>
    <w:p>
      <w:pPr>
        <w:pStyle w:val="Nivel01"/>
        <w:numPr>
          <w:ilvl w:val="0"/>
          <w:numId w:val="2"/>
        </w:numPr>
        <w:spacing w:lineRule="auto" w:line="240" w:before="57" w:after="57"/>
        <w:ind w:hanging="0" w:left="0"/>
        <w:rPr/>
      </w:pPr>
      <w:r>
        <w:rPr>
          <w:rFonts w:cs="Arial" w:ascii="Verdana" w:hAnsi="Verdana"/>
          <w:lang w:eastAsia="en-US"/>
        </w:rPr>
        <w:t>DOS RECURSOS</w:t>
      </w:r>
    </w:p>
    <w:p>
      <w:pPr>
        <w:pStyle w:val="ListParagraph"/>
        <w:numPr>
          <w:ilvl w:val="1"/>
          <w:numId w:val="2"/>
        </w:numPr>
        <w:spacing w:lineRule="auto" w:line="240" w:before="57" w:after="57"/>
        <w:ind w:hanging="0" w:left="0"/>
        <w:contextualSpacing w:val="false"/>
        <w:jc w:val="both"/>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40" w:before="57" w:after="57"/>
        <w:ind w:hanging="0" w:left="0"/>
        <w:contextualSpacing w:val="false"/>
        <w:jc w:val="both"/>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08"/>
          <w:tab w:val="left" w:pos="850" w:leader="none"/>
        </w:tabs>
        <w:snapToGrid w:val="false"/>
        <w:spacing w:lineRule="auto" w:line="240" w:before="57" w:after="57"/>
        <w:ind w:hanging="0" w:left="0"/>
        <w:jc w:val="both"/>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08"/>
          <w:tab w:val="left" w:pos="850" w:leader="none"/>
        </w:tabs>
        <w:snapToGrid w:val="false"/>
        <w:spacing w:lineRule="auto" w:line="240" w:before="57" w:after="57"/>
        <w:ind w:hanging="0" w:left="0"/>
        <w:jc w:val="both"/>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08"/>
          <w:tab w:val="left" w:pos="850" w:leader="none"/>
        </w:tabs>
        <w:snapToGrid w:val="false"/>
        <w:spacing w:lineRule="auto" w:line="240" w:before="57" w:after="57"/>
        <w:ind w:hanging="0" w:left="0"/>
        <w:jc w:val="both"/>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40" w:before="57" w:after="57"/>
        <w:ind w:hanging="0" w:left="0"/>
        <w:contextualSpacing w:val="false"/>
        <w:jc w:val="both"/>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40" w:before="57" w:after="57"/>
        <w:ind w:hanging="0" w:left="0"/>
        <w:contextualSpacing w:val="false"/>
        <w:jc w:val="both"/>
        <w:rPr/>
      </w:pPr>
      <w:r>
        <w:rPr>
          <w:rFonts w:cs="Arial" w:ascii="Verdana" w:hAnsi="Verdana"/>
          <w:color w:val="000000"/>
          <w:sz w:val="20"/>
          <w:szCs w:val="20"/>
        </w:rPr>
        <w:t>Os autos do processo permanecerão com vista franqueada aos interessados, no endereço constante neste Edital.</w:t>
      </w:r>
    </w:p>
    <w:p>
      <w:pPr>
        <w:pStyle w:val="ListParagraph"/>
        <w:spacing w:lineRule="auto" w:line="240" w:before="57" w:after="57"/>
        <w:ind w:hanging="0" w:left="0"/>
        <w:contextualSpacing w:val="false"/>
        <w:jc w:val="both"/>
        <w:rPr>
          <w:rFonts w:ascii="Verdana" w:hAnsi="Verdana" w:cs="Arial"/>
          <w:color w:val="000000"/>
        </w:rPr>
      </w:pPr>
      <w:r>
        <w:rPr>
          <w:rFonts w:cs="Arial" w:ascii="Verdana" w:hAnsi="Verdana"/>
          <w:color w:val="000000"/>
        </w:rPr>
      </w:r>
    </w:p>
    <w:p>
      <w:pPr>
        <w:pStyle w:val="Nivel01"/>
        <w:numPr>
          <w:ilvl w:val="0"/>
          <w:numId w:val="2"/>
        </w:numPr>
        <w:spacing w:lineRule="auto" w:line="240" w:before="57" w:after="57"/>
        <w:ind w:hanging="0" w:left="0"/>
        <w:rPr/>
      </w:pPr>
      <w:r>
        <w:rPr>
          <w:rFonts w:cs="Arial" w:ascii="Verdana" w:hAnsi="Verdana"/>
          <w:lang w:eastAsia="en-US"/>
        </w:rPr>
        <w:t>DA REABERTURA DA SESSÃO PÚBLICA</w:t>
      </w:r>
    </w:p>
    <w:p>
      <w:pPr>
        <w:pStyle w:val="Nivel01"/>
        <w:keepNext w:val="false"/>
        <w:keepLines w:val="false"/>
        <w:numPr>
          <w:ilvl w:val="1"/>
          <w:numId w:val="2"/>
        </w:numPr>
        <w:spacing w:lineRule="auto" w:line="240" w:before="57" w:after="57"/>
        <w:ind w:hanging="0" w:left="0"/>
        <w:rPr/>
      </w:pPr>
      <w:r>
        <w:rPr>
          <w:rFonts w:cs="Arial" w:ascii="Verdana" w:hAnsi="Verdana"/>
          <w:b w:val="false"/>
          <w:bCs w:val="false"/>
          <w:color w:val="auto"/>
        </w:rPr>
        <w:t>A sessão pública poderá ser reaberta:</w:t>
      </w:r>
    </w:p>
    <w:p>
      <w:pPr>
        <w:pStyle w:val="Nivel01"/>
        <w:keepNext w:val="false"/>
        <w:keepLines w:val="false"/>
        <w:numPr>
          <w:ilvl w:val="2"/>
          <w:numId w:val="2"/>
        </w:numPr>
        <w:tabs>
          <w:tab w:val="left" w:pos="567" w:leader="none"/>
          <w:tab w:val="left" w:pos="850" w:leader="none"/>
        </w:tabs>
        <w:spacing w:lineRule="auto" w:line="240" w:before="57" w:after="57"/>
        <w:ind w:hanging="0" w:left="0"/>
        <w:rPr/>
      </w:pPr>
      <w:r>
        <w:rPr>
          <w:rFonts w:cs="Arial" w:ascii="Verdana" w:hAnsi="Verdan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lineRule="auto" w:line="240" w:before="57" w:after="57"/>
        <w:ind w:hanging="0" w:left="0"/>
        <w:rPr/>
      </w:pPr>
      <w:r>
        <w:rPr>
          <w:rFonts w:cs="Arial" w:ascii="Verdana" w:hAnsi="Verdan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40" w:before="57" w:after="57"/>
        <w:ind w:hanging="0" w:left="0"/>
        <w:rPr/>
      </w:pPr>
      <w:r>
        <w:rPr>
          <w:rFonts w:cs="Arial" w:ascii="Verdana" w:hAnsi="Verdana"/>
          <w:b w:val="false"/>
          <w:bCs w:val="false"/>
          <w:color w:val="auto"/>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lineRule="auto" w:line="240" w:before="57" w:after="57"/>
        <w:ind w:hanging="0" w:left="0"/>
        <w:rPr/>
      </w:pPr>
      <w:r>
        <w:rPr>
          <w:rFonts w:cs="Arial" w:ascii="Verdana" w:hAnsi="Verdana"/>
          <w:b w:val="false"/>
          <w:bCs w:val="false"/>
          <w:color w:val="auto"/>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lineRule="auto" w:line="240" w:before="57" w:after="57"/>
        <w:ind w:hanging="0" w:left="0"/>
        <w:rPr/>
      </w:pPr>
      <w:r>
        <w:rPr>
          <w:rFonts w:cs="Arial" w:ascii="Verdana" w:hAnsi="Verdana"/>
          <w:b w:val="false"/>
          <w:bCs w:val="false"/>
          <w:color w:val="auto"/>
        </w:rPr>
        <w:t>A convocação feita por e-mail dar-se-á de acordo com os dados contidos no SICAF, sendo responsabilidade do licitante manter seus dados cadastrais atualizados.</w:t>
      </w:r>
    </w:p>
    <w:p>
      <w:pPr>
        <w:pStyle w:val="Normal"/>
        <w:tabs>
          <w:tab w:val="clear" w:pos="708"/>
          <w:tab w:val="left" w:pos="567" w:leader="none"/>
          <w:tab w:val="left" w:pos="850" w:leader="none"/>
        </w:tabs>
        <w:spacing w:lineRule="auto" w:line="240" w:before="57" w:after="57"/>
        <w:rPr>
          <w:rFonts w:ascii="Verdana" w:hAnsi="Verdana" w:cs="Arial"/>
          <w:sz w:val="20"/>
          <w:szCs w:val="20"/>
        </w:rPr>
      </w:pPr>
      <w:r>
        <w:rPr>
          <w:rFonts w:cs="Arial" w:ascii="Verdana" w:hAnsi="Verdana"/>
          <w:sz w:val="20"/>
          <w:szCs w:val="20"/>
        </w:rPr>
      </w:r>
    </w:p>
    <w:p>
      <w:pPr>
        <w:pStyle w:val="Nivel01"/>
        <w:numPr>
          <w:ilvl w:val="0"/>
          <w:numId w:val="2"/>
        </w:numPr>
        <w:spacing w:lineRule="auto" w:line="240" w:before="57" w:after="57"/>
        <w:ind w:hanging="0" w:left="0"/>
        <w:rPr/>
      </w:pPr>
      <w:r>
        <w:rPr>
          <w:rFonts w:cs="Arial" w:ascii="Verdana" w:hAnsi="Verdana"/>
        </w:rPr>
        <w:t xml:space="preserve">DA ADJUDICAÇÃO E HOMOLOGAÇÃO </w:t>
      </w:r>
    </w:p>
    <w:p>
      <w:pPr>
        <w:pStyle w:val="ListParagraph"/>
        <w:numPr>
          <w:ilvl w:val="1"/>
          <w:numId w:val="2"/>
        </w:numPr>
        <w:spacing w:lineRule="auto" w:line="240" w:before="57" w:after="57"/>
        <w:ind w:hanging="0" w:left="0"/>
        <w:contextualSpacing w:val="false"/>
        <w:jc w:val="both"/>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40" w:before="57" w:after="57"/>
        <w:ind w:hanging="0" w:left="0"/>
        <w:contextualSpacing w:val="false"/>
        <w:jc w:val="both"/>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lineRule="auto" w:line="240" w:before="57" w:after="57"/>
        <w:ind w:hanging="0"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40" w:before="113" w:after="113"/>
        <w:ind w:hanging="0" w:left="57" w:right="57"/>
        <w:rPr/>
      </w:pPr>
      <w:r>
        <w:rPr>
          <w:rFonts w:cs="Arial" w:ascii="Verdana" w:hAnsi="Verdana"/>
          <w:color w:val="auto"/>
        </w:rPr>
        <w:t xml:space="preserve">DA GARANTIA DE EXECUÇÃO </w:t>
      </w:r>
    </w:p>
    <w:p>
      <w:pPr>
        <w:pStyle w:val="ListParagraph"/>
        <w:numPr>
          <w:ilvl w:val="1"/>
          <w:numId w:val="2"/>
        </w:numPr>
        <w:spacing w:lineRule="auto" w:line="240" w:before="113" w:after="113"/>
        <w:ind w:hanging="0" w:left="57" w:right="57"/>
        <w:contextualSpacing w:val="false"/>
        <w:jc w:val="both"/>
        <w:rPr/>
      </w:pPr>
      <w:r>
        <w:rPr>
          <w:rFonts w:cs="Arial" w:ascii="Verdana" w:hAnsi="Verdana"/>
          <w:sz w:val="20"/>
          <w:szCs w:val="20"/>
        </w:rPr>
        <w:t>Não haverá exigência de garantia de execução para a presente contratação.</w:t>
      </w:r>
    </w:p>
    <w:p>
      <w:pPr>
        <w:pStyle w:val="ListParagraph"/>
        <w:numPr>
          <w:ilvl w:val="2"/>
          <w:numId w:val="2"/>
        </w:numPr>
        <w:tabs>
          <w:tab w:val="clear" w:pos="708"/>
          <w:tab w:val="left" w:pos="850" w:leader="none"/>
        </w:tabs>
        <w:spacing w:lineRule="auto" w:line="240" w:before="113" w:after="113"/>
        <w:ind w:hanging="0" w:left="57" w:right="57"/>
        <w:contextualSpacing w:val="false"/>
        <w:jc w:val="both"/>
        <w:rPr/>
      </w:pPr>
      <w:r>
        <w:rPr>
          <w:rFonts w:cs="Arial"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ListParagraph"/>
        <w:numPr>
          <w:ilvl w:val="2"/>
          <w:numId w:val="2"/>
        </w:numPr>
        <w:tabs>
          <w:tab w:val="clear" w:pos="708"/>
          <w:tab w:val="left" w:pos="850" w:leader="none"/>
        </w:tabs>
        <w:spacing w:lineRule="auto" w:line="240" w:before="113" w:after="113"/>
        <w:ind w:hanging="0" w:left="57" w:right="57"/>
        <w:contextualSpacing w:val="false"/>
        <w:jc w:val="both"/>
        <w:rPr/>
      </w:pPr>
      <w:r>
        <w:rPr>
          <w:rFonts w:cs="Arial" w:ascii="Verdana" w:hAnsi="Verdana"/>
          <w:color w:val="000000"/>
          <w:sz w:val="20"/>
          <w:szCs w:val="20"/>
        </w:rPr>
        <w:t>O pagamento à contratada só ocorrerá após o recebimento definitivo e o atendimento a todas as condições previstas no Edital.</w:t>
      </w:r>
    </w:p>
    <w:p>
      <w:pPr>
        <w:pStyle w:val="ListParagraph"/>
        <w:tabs>
          <w:tab w:val="clear" w:pos="708"/>
          <w:tab w:val="left" w:pos="850" w:leader="none"/>
        </w:tabs>
        <w:spacing w:lineRule="auto" w:line="240" w:before="113" w:after="113"/>
        <w:ind w:hanging="0" w:left="57" w:right="57"/>
        <w:contextualSpacing w:val="false"/>
        <w:jc w:val="both"/>
        <w:rPr>
          <w:rFonts w:ascii="Verdana" w:hAnsi="Verdana" w:cs="Arial"/>
          <w:color w:val="000000"/>
          <w:sz w:val="20"/>
          <w:szCs w:val="20"/>
        </w:rPr>
      </w:pPr>
      <w:r>
        <w:rPr>
          <w:rFonts w:cs="Arial" w:ascii="Verdana" w:hAnsi="Verdana"/>
          <w:color w:val="000000"/>
          <w:sz w:val="20"/>
          <w:szCs w:val="20"/>
        </w:rPr>
      </w:r>
    </w:p>
    <w:p>
      <w:pPr>
        <w:pStyle w:val="ListParagraph"/>
        <w:tabs>
          <w:tab w:val="clear" w:pos="708"/>
          <w:tab w:val="left" w:pos="850" w:leader="none"/>
        </w:tabs>
        <w:spacing w:lineRule="auto" w:line="240" w:before="57" w:after="57"/>
        <w:ind w:hanging="0" w:left="0"/>
        <w:contextualSpacing w:val="false"/>
        <w:jc w:val="both"/>
        <w:rPr/>
      </w:pPr>
      <w:r>
        <w:rPr>
          <w:rFonts w:cs="Arial" w:ascii="Verdana" w:hAnsi="Verdana"/>
          <w:b/>
          <w:bCs/>
          <w:sz w:val="20"/>
          <w:szCs w:val="20"/>
        </w:rPr>
        <w:t>15 DA ATA DE REGISTRO DE PREÇOS</w:t>
      </w:r>
    </w:p>
    <w:p>
      <w:pPr>
        <w:pStyle w:val="ListParagraph"/>
        <w:tabs>
          <w:tab w:val="clear" w:pos="708"/>
          <w:tab w:val="left" w:pos="850" w:leader="none"/>
        </w:tabs>
        <w:spacing w:lineRule="auto" w:line="240" w:before="113" w:after="113"/>
        <w:ind w:hanging="0" w:left="57" w:right="57"/>
        <w:contextualSpacing w:val="false"/>
        <w:jc w:val="both"/>
        <w:rPr/>
      </w:pPr>
      <w:r>
        <w:rPr>
          <w:rFonts w:cs="Arial" w:ascii="Verdana" w:hAnsi="Verdana"/>
          <w:sz w:val="20"/>
          <w:szCs w:val="20"/>
        </w:rPr>
        <w:t xml:space="preserve">15.1 Homologado o resultado da licitação, terá o adjudicatário o prazo de </w:t>
      </w:r>
      <w:r>
        <w:rPr>
          <w:rFonts w:cs="Arial" w:ascii="Verdana" w:hAnsi="Verdana"/>
          <w:b/>
          <w:bCs/>
          <w:sz w:val="20"/>
          <w:szCs w:val="20"/>
        </w:rPr>
        <w:t>05 (</w:t>
      </w:r>
      <w:r>
        <w:rPr>
          <w:rFonts w:eastAsia="MS Gothic" w:cs="Arial" w:ascii="Verdana" w:hAnsi="Verdana"/>
          <w:b/>
          <w:bCs/>
          <w:sz w:val="20"/>
          <w:szCs w:val="20"/>
        </w:rPr>
        <w:t>cinco</w:t>
      </w:r>
      <w:r>
        <w:rPr>
          <w:rFonts w:cs="Arial" w:ascii="Verdana" w:hAnsi="Verdana"/>
          <w:b/>
          <w:bCs/>
          <w:sz w:val="20"/>
          <w:szCs w:val="20"/>
        </w:rPr>
        <w:t>) dias</w:t>
      </w:r>
      <w:r>
        <w:rPr>
          <w:rFonts w:cs="Arial" w:ascii="Verdana" w:hAnsi="Verdana"/>
          <w:sz w:val="20"/>
          <w:szCs w:val="20"/>
        </w:rPr>
        <w:t>, contados a partir da data de sua convocação, para assinar a Ata de Registro de Preços, cujo prazo de validade encontra-se nela fixado, sob pena de decair do direito à contratação, sem prejuízo das sanções previstas neste Edital.</w:t>
      </w:r>
    </w:p>
    <w:p>
      <w:pPr>
        <w:pStyle w:val="ListParagraph"/>
        <w:tabs>
          <w:tab w:val="clear" w:pos="708"/>
          <w:tab w:val="left" w:pos="850" w:leader="none"/>
        </w:tabs>
        <w:spacing w:lineRule="auto" w:line="240" w:before="113" w:after="113"/>
        <w:ind w:hanging="0" w:left="57" w:right="57"/>
        <w:contextualSpacing w:val="false"/>
        <w:jc w:val="both"/>
        <w:rPr/>
      </w:pPr>
      <w:r>
        <w:rPr>
          <w:rFonts w:cs="Arial" w:ascii="Verdana" w:hAnsi="Verdana"/>
          <w:sz w:val="20"/>
          <w:szCs w:val="20"/>
        </w:rPr>
        <w:t xml:space="preserve">15.2 Alternativamente à convocação para comparecer perante o órgão ou entidade para a assinatura da Ata de Registro de Preços, a Administração poderá encaminhá-la para assinatura, </w:t>
      </w:r>
      <w:r>
        <w:rPr>
          <w:rFonts w:cs="Arial" w:ascii="Verdana" w:hAnsi="Verdana"/>
          <w:iCs/>
          <w:sz w:val="20"/>
          <w:szCs w:val="20"/>
        </w:rPr>
        <w:t xml:space="preserve">mediante correspondência postal com aviso de recebimento (AR) ou meio eletrônico, para que seja assinada e devolvida no prazo de </w:t>
      </w:r>
      <w:r>
        <w:rPr>
          <w:rFonts w:cs="Arial" w:ascii="Verdana" w:hAnsi="Verdana"/>
          <w:b/>
          <w:bCs/>
          <w:iCs/>
          <w:sz w:val="20"/>
          <w:szCs w:val="20"/>
        </w:rPr>
        <w:t>05 (cinco) dias</w:t>
      </w:r>
      <w:r>
        <w:rPr>
          <w:rFonts w:cs="Arial" w:ascii="Verdana" w:hAnsi="Verdana"/>
          <w:iCs/>
          <w:sz w:val="20"/>
          <w:szCs w:val="20"/>
        </w:rPr>
        <w:t>, a contar da data de seu recebimento.</w:t>
      </w:r>
    </w:p>
    <w:p>
      <w:pPr>
        <w:pStyle w:val="ListParagraph"/>
        <w:tabs>
          <w:tab w:val="clear" w:pos="708"/>
          <w:tab w:val="left" w:pos="850" w:leader="none"/>
        </w:tabs>
        <w:spacing w:lineRule="auto" w:line="240" w:before="113" w:after="113"/>
        <w:ind w:hanging="0" w:left="57" w:right="57"/>
        <w:contextualSpacing w:val="false"/>
        <w:jc w:val="both"/>
        <w:rPr/>
      </w:pPr>
      <w:r>
        <w:rPr>
          <w:rFonts w:cs="Arial" w:ascii="Verdana" w:hAnsi="Verdana"/>
          <w:iCs/>
          <w:sz w:val="20"/>
          <w:szCs w:val="20"/>
        </w:rPr>
        <w:t xml:space="preserve">15.3 </w:t>
      </w:r>
      <w:r>
        <w:rPr>
          <w:rFonts w:cs="Arial" w:ascii="Verdana" w:hAnsi="Verdana"/>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ListParagraph"/>
        <w:tabs>
          <w:tab w:val="clear" w:pos="708"/>
          <w:tab w:val="left" w:pos="850" w:leader="none"/>
        </w:tabs>
        <w:spacing w:lineRule="auto" w:line="240" w:before="113" w:after="113"/>
        <w:ind w:hanging="0" w:left="57" w:right="57"/>
        <w:contextualSpacing w:val="false"/>
        <w:jc w:val="both"/>
        <w:rPr/>
      </w:pPr>
      <w:r>
        <w:rPr>
          <w:rFonts w:cs="Arial" w:ascii="Verdana" w:hAnsi="Verdana"/>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pPr>
        <w:pStyle w:val="ListParagraph"/>
        <w:tabs>
          <w:tab w:val="clear" w:pos="708"/>
          <w:tab w:val="left" w:pos="850" w:leader="none"/>
        </w:tabs>
        <w:spacing w:lineRule="auto" w:line="240" w:before="113" w:after="113"/>
        <w:ind w:hanging="0" w:left="57" w:right="57"/>
        <w:contextualSpacing w:val="false"/>
        <w:jc w:val="both"/>
        <w:rPr/>
      </w:pPr>
      <w:r>
        <w:rPr>
          <w:rFonts w:cs="Arial" w:ascii="Verdana" w:hAnsi="Verdana"/>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spacing w:lineRule="auto" w:line="240"/>
        <w:ind w:hanging="0" w:left="0"/>
        <w:rPr/>
      </w:pPr>
      <w:r>
        <w:rPr>
          <w:rFonts w:eastAsia="Segoe UI" w:cs="Arial" w:ascii="Verdana" w:hAnsi="Verdana"/>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Nivel2"/>
        <w:numPr>
          <w:ilvl w:val="0"/>
          <w:numId w:val="0"/>
        </w:numPr>
        <w:spacing w:lineRule="auto" w:line="240"/>
        <w:ind w:hanging="0" w:left="0"/>
        <w:rPr/>
      </w:pPr>
      <w:r>
        <w:rPr>
          <w:rFonts w:eastAsia="Segoe UI" w:cs="Arial" w:ascii="Verdana" w:hAnsi="Verdana"/>
          <w:bCs/>
          <w:color w:val="000000"/>
        </w:rPr>
        <w:t>15.7 Será permitida a adesão (carona) por outros órgãos não participantes desde que com autorização do órgão licitante.</w:t>
      </w:r>
    </w:p>
    <w:p>
      <w:pPr>
        <w:pStyle w:val="ListParagraph"/>
        <w:tabs>
          <w:tab w:val="clear" w:pos="708"/>
          <w:tab w:val="left" w:pos="850" w:leader="none"/>
        </w:tabs>
        <w:spacing w:lineRule="auto" w:line="240" w:before="57" w:after="57"/>
        <w:ind w:hanging="0" w:left="0"/>
        <w:contextualSpacing w:val="false"/>
        <w:jc w:val="both"/>
        <w:rPr>
          <w:rFonts w:ascii="Verdana" w:hAnsi="Verdana"/>
          <w:bCs/>
          <w:sz w:val="20"/>
          <w:szCs w:val="20"/>
        </w:rPr>
      </w:pPr>
      <w:r>
        <w:rPr>
          <w:rFonts w:ascii="Verdana" w:hAnsi="Verdana"/>
          <w:bCs/>
          <w:sz w:val="20"/>
          <w:szCs w:val="20"/>
        </w:rPr>
      </w:r>
    </w:p>
    <w:p>
      <w:pPr>
        <w:pStyle w:val="Nivel01"/>
        <w:spacing w:lineRule="auto" w:line="240" w:before="57" w:after="57"/>
        <w:rPr/>
      </w:pPr>
      <w:r>
        <w:rPr>
          <w:rFonts w:cs="Arial" w:ascii="Verdana" w:hAnsi="Verdana"/>
        </w:rPr>
        <w:t>16. DO REAJUSTAMENTO EM SENTIDO GERAL</w:t>
      </w:r>
    </w:p>
    <w:p>
      <w:pPr>
        <w:pStyle w:val="ListParagraph"/>
        <w:spacing w:lineRule="auto" w:line="240" w:before="57" w:after="57"/>
        <w:ind w:hanging="0" w:left="0"/>
        <w:contextualSpacing w:val="false"/>
        <w:jc w:val="both"/>
        <w:rPr/>
      </w:pPr>
      <w:r>
        <w:rPr>
          <w:rFonts w:cs="Arial" w:ascii="Verdana" w:hAnsi="Verdana"/>
          <w:color w:val="000000"/>
          <w:sz w:val="20"/>
          <w:szCs w:val="20"/>
        </w:rPr>
        <w:t xml:space="preserve">15.1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lineRule="auto" w:line="240" w:before="57" w:after="57"/>
        <w:ind w:hanging="0" w:left="0"/>
        <w:contextualSpacing w:val="false"/>
        <w:jc w:val="both"/>
        <w:rPr>
          <w:rFonts w:ascii="Verdana" w:hAnsi="Verdana"/>
          <w:sz w:val="20"/>
          <w:szCs w:val="20"/>
        </w:rPr>
      </w:pPr>
      <w:r>
        <w:rPr>
          <w:rFonts w:ascii="Verdana" w:hAnsi="Verdana"/>
          <w:sz w:val="20"/>
          <w:szCs w:val="20"/>
        </w:rPr>
      </w:r>
    </w:p>
    <w:p>
      <w:pPr>
        <w:pStyle w:val="Nivel01"/>
        <w:spacing w:lineRule="auto" w:line="240" w:before="57" w:after="57"/>
        <w:rPr/>
      </w:pPr>
      <w:r>
        <w:rPr>
          <w:rFonts w:cs="Arial" w:ascii="Verdana" w:hAnsi="Verdana"/>
        </w:rPr>
        <w:t>17. DA ACEITAÇÃO DO OBJETO E DA FISCALIZAÇÃO</w:t>
      </w:r>
    </w:p>
    <w:p>
      <w:pPr>
        <w:pStyle w:val="ListParagraph"/>
        <w:spacing w:lineRule="auto" w:line="240" w:before="57" w:after="57"/>
        <w:ind w:hanging="0" w:left="0"/>
        <w:contextualSpacing w:val="false"/>
        <w:jc w:val="both"/>
        <w:rPr/>
      </w:pPr>
      <w:r>
        <w:rPr>
          <w:rFonts w:cs="Arial" w:ascii="Verdana" w:hAnsi="Verdana"/>
          <w:color w:val="000000"/>
          <w:sz w:val="20"/>
          <w:szCs w:val="20"/>
          <w:lang w:eastAsia="en-US"/>
        </w:rPr>
        <w:t>16.1 Os critérios de recebimento e aceitação do objeto e de fiscalização estão previstos no Termo de Referência e Minuta da Ata anexos a este edital.</w:t>
      </w:r>
    </w:p>
    <w:p>
      <w:pPr>
        <w:pStyle w:val="ListParagraph"/>
        <w:spacing w:lineRule="auto" w:line="240" w:before="57" w:after="57"/>
        <w:ind w:hanging="0" w:left="0"/>
        <w:contextualSpacing w:val="false"/>
        <w:jc w:val="both"/>
        <w:rPr>
          <w:rFonts w:ascii="Verdana" w:hAnsi="Verdana"/>
          <w:sz w:val="20"/>
          <w:szCs w:val="20"/>
        </w:rPr>
      </w:pPr>
      <w:r>
        <w:rPr>
          <w:rFonts w:ascii="Verdana" w:hAnsi="Verdana"/>
          <w:sz w:val="20"/>
          <w:szCs w:val="20"/>
        </w:rPr>
      </w:r>
    </w:p>
    <w:p>
      <w:pPr>
        <w:pStyle w:val="Nivel01"/>
        <w:spacing w:lineRule="auto" w:line="240" w:before="57" w:after="57"/>
        <w:rPr/>
      </w:pPr>
      <w:r>
        <w:rPr>
          <w:rFonts w:cs="Arial" w:ascii="Verdana" w:hAnsi="Verdana"/>
          <w:lang w:eastAsia="en-US"/>
        </w:rPr>
        <w:t>18. DAS OBRIGAÇÕES DA CONTRATANTE E DA CONTRATADA</w:t>
      </w:r>
    </w:p>
    <w:p>
      <w:pPr>
        <w:pStyle w:val="ListParagraph"/>
        <w:spacing w:lineRule="auto" w:line="240" w:before="57" w:after="57"/>
        <w:ind w:hanging="0" w:left="0"/>
        <w:contextualSpacing w:val="false"/>
        <w:jc w:val="both"/>
        <w:rPr/>
      </w:pPr>
      <w:r>
        <w:rPr>
          <w:rFonts w:cs="Arial" w:ascii="Verdana" w:hAnsi="Verdana"/>
          <w:b/>
          <w:bCs/>
          <w:color w:val="000000"/>
          <w:sz w:val="20"/>
          <w:szCs w:val="20"/>
          <w:lang w:eastAsia="en-US"/>
        </w:rPr>
        <w:t xml:space="preserve">18.1 </w:t>
      </w:r>
      <w:r>
        <w:rPr>
          <w:rFonts w:cs="Arial" w:ascii="Verdana" w:hAnsi="Verdana"/>
          <w:color w:val="000000"/>
          <w:sz w:val="20"/>
          <w:szCs w:val="20"/>
          <w:lang w:eastAsia="en-US"/>
        </w:rPr>
        <w:t>As obrigações da Contratante e da Contratada são as estabelecidas no Termo de Referência e Minuta da Ata anexos a este edital.</w:t>
      </w:r>
    </w:p>
    <w:p>
      <w:pPr>
        <w:pStyle w:val="ListParagraph"/>
        <w:spacing w:lineRule="auto" w:line="240" w:before="57" w:after="57"/>
        <w:ind w:hanging="0" w:left="0"/>
        <w:contextualSpacing w:val="false"/>
        <w:jc w:val="both"/>
        <w:rPr>
          <w:rFonts w:ascii="Verdana" w:hAnsi="Verdana"/>
          <w:sz w:val="20"/>
          <w:szCs w:val="20"/>
        </w:rPr>
      </w:pPr>
      <w:r>
        <w:rPr>
          <w:rFonts w:ascii="Verdana" w:hAnsi="Verdana"/>
          <w:sz w:val="20"/>
          <w:szCs w:val="20"/>
        </w:rPr>
      </w:r>
    </w:p>
    <w:p>
      <w:pPr>
        <w:pStyle w:val="Nivel01"/>
        <w:spacing w:lineRule="auto" w:line="240" w:before="57" w:after="57"/>
        <w:rPr/>
      </w:pPr>
      <w:r>
        <w:rPr>
          <w:rFonts w:cs="Tahoma" w:ascii="Verdana" w:hAnsi="Verdana"/>
          <w:color w:val="auto"/>
        </w:rPr>
        <w:t>19</w:t>
      </w:r>
      <w:r>
        <w:rPr>
          <w:rFonts w:cs="Arial" w:ascii="Verdana" w:hAnsi="Verdana"/>
        </w:rPr>
        <w:t>. DO PAGAMENTO</w:t>
      </w:r>
    </w:p>
    <w:p>
      <w:pPr>
        <w:pStyle w:val="ListParagraph"/>
        <w:spacing w:lineRule="auto" w:line="240" w:before="57" w:after="57"/>
        <w:ind w:hanging="0" w:left="0"/>
        <w:contextualSpacing w:val="false"/>
        <w:jc w:val="both"/>
        <w:rPr/>
      </w:pPr>
      <w:r>
        <w:rPr>
          <w:rFonts w:cs="Arial" w:ascii="Verdana" w:hAnsi="Verdana"/>
          <w:b/>
          <w:bCs/>
          <w:color w:val="000000"/>
          <w:sz w:val="20"/>
          <w:szCs w:val="20"/>
          <w:lang w:eastAsia="en-US"/>
        </w:rPr>
        <w:t xml:space="preserve">19.1 </w:t>
      </w:r>
      <w:r>
        <w:rPr>
          <w:rFonts w:cs="Arial" w:ascii="Verdana" w:hAnsi="Verdana"/>
          <w:color w:val="000000"/>
          <w:sz w:val="20"/>
          <w:szCs w:val="20"/>
          <w:lang w:eastAsia="en-US"/>
        </w:rPr>
        <w:t>As regras acerca do pagamento são as estabelecidas no Termo de Referência e Minuta de Ata anexos a este edital.</w:t>
      </w:r>
    </w:p>
    <w:p>
      <w:pPr>
        <w:pStyle w:val="ListParagraph"/>
        <w:spacing w:lineRule="auto" w:line="240" w:before="57" w:after="57"/>
        <w:ind w:hanging="0" w:left="0"/>
        <w:contextualSpacing w:val="false"/>
        <w:jc w:val="both"/>
        <w:rPr>
          <w:rFonts w:ascii="Verdana" w:hAnsi="Verdana"/>
          <w:sz w:val="20"/>
          <w:szCs w:val="20"/>
        </w:rPr>
      </w:pPr>
      <w:r>
        <w:rPr>
          <w:rFonts w:ascii="Verdana" w:hAnsi="Verdana"/>
          <w:sz w:val="20"/>
          <w:szCs w:val="20"/>
        </w:rPr>
      </w:r>
    </w:p>
    <w:p>
      <w:pPr>
        <w:pStyle w:val="Nivel01"/>
        <w:spacing w:lineRule="auto" w:line="240" w:before="57" w:after="57"/>
        <w:rPr/>
      </w:pPr>
      <w:r>
        <w:rPr>
          <w:rFonts w:cs="Arial" w:ascii="Verdana" w:hAnsi="Verdana"/>
        </w:rPr>
        <w:t>20. DAS SANÇÕES ADMINISTRATIVAS.</w:t>
      </w:r>
    </w:p>
    <w:p>
      <w:pPr>
        <w:pStyle w:val="ListParagraph"/>
        <w:spacing w:lineRule="auto" w:line="240" w:before="57" w:after="57"/>
        <w:ind w:hanging="0" w:left="0"/>
        <w:contextualSpacing w:val="false"/>
        <w:jc w:val="both"/>
        <w:rPr/>
      </w:pPr>
      <w:r>
        <w:rPr>
          <w:rFonts w:cs="Arial" w:ascii="Verdana" w:hAnsi="Verdana"/>
          <w:b/>
          <w:bCs/>
          <w:sz w:val="20"/>
          <w:szCs w:val="20"/>
          <w:shd w:fill="FFFFFF" w:val="clear"/>
        </w:rPr>
        <w:t xml:space="preserve">20.1 </w:t>
      </w:r>
      <w:r>
        <w:rPr>
          <w:rFonts w:cs="Arial" w:ascii="Verdana" w:hAnsi="Verdana"/>
          <w:sz w:val="20"/>
          <w:szCs w:val="20"/>
          <w:shd w:fill="FFFFFF" w:val="clear"/>
        </w:rPr>
        <w:t xml:space="preserve">Comete infração administrativa, nos termos da Lei, o licitante/adjudicatário que: </w:t>
      </w:r>
    </w:p>
    <w:p>
      <w:pPr>
        <w:pStyle w:val="Normal"/>
        <w:tabs>
          <w:tab w:val="clear" w:pos="708"/>
          <w:tab w:val="left" w:pos="850" w:leader="none"/>
          <w:tab w:val="left" w:pos="1440" w:leader="none"/>
        </w:tabs>
        <w:snapToGrid w:val="false"/>
        <w:spacing w:lineRule="auto" w:line="240" w:before="57" w:after="57"/>
        <w:jc w:val="both"/>
        <w:rPr/>
      </w:pPr>
      <w:r>
        <w:rPr>
          <w:rFonts w:cs="Arial" w:ascii="Verdana" w:hAnsi="Verdana"/>
          <w:sz w:val="20"/>
          <w:szCs w:val="20"/>
          <w:shd w:fill="FFFFFF" w:val="clear"/>
        </w:rPr>
        <w:t>20.1.1 D</w:t>
      </w:r>
      <w:bookmarkStart w:id="13"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3"/>
    </w:p>
    <w:p>
      <w:pPr>
        <w:pStyle w:val="Normal"/>
        <w:tabs>
          <w:tab w:val="clear" w:pos="708"/>
          <w:tab w:val="left" w:pos="850" w:leader="none"/>
          <w:tab w:val="left" w:pos="1440" w:leader="none"/>
        </w:tabs>
        <w:snapToGrid w:val="false"/>
        <w:spacing w:lineRule="auto" w:line="240" w:before="57" w:after="57"/>
        <w:jc w:val="both"/>
        <w:rPr/>
      </w:pPr>
      <w:r>
        <w:rPr>
          <w:rFonts w:cs="Arial" w:ascii="Verdana" w:hAnsi="Verdana"/>
          <w:sz w:val="20"/>
          <w:szCs w:val="20"/>
          <w:shd w:fill="FFFFFF" w:val="clear"/>
        </w:rPr>
        <w:t xml:space="preserve">20.1.2 </w:t>
      </w:r>
      <w:bookmarkStart w:id="14" w:name="_Ref114668108"/>
      <w:r>
        <w:rPr>
          <w:rFonts w:cs="Arial" w:ascii="Verdana" w:hAnsi="Verdana"/>
          <w:sz w:val="20"/>
          <w:szCs w:val="20"/>
          <w:shd w:fill="FFFFFF" w:val="clear"/>
        </w:rPr>
        <w:t>Salvo em decorrência de fato superveniente devidamente justificado, não mantiver a proposta em especial quando:</w:t>
      </w:r>
      <w:bookmarkEnd w:id="14"/>
    </w:p>
    <w:p>
      <w:pPr>
        <w:pStyle w:val="Normal"/>
        <w:tabs>
          <w:tab w:val="clear" w:pos="708"/>
          <w:tab w:val="left" w:pos="850" w:leader="none"/>
          <w:tab w:val="left" w:pos="1440" w:leader="none"/>
        </w:tabs>
        <w:snapToGrid w:val="false"/>
        <w:spacing w:lineRule="auto" w:line="240" w:before="57" w:after="57"/>
        <w:jc w:val="both"/>
        <w:rPr/>
      </w:pPr>
      <w:r>
        <w:rPr>
          <w:rFonts w:cs="Arial" w:ascii="Verdana" w:hAnsi="Verdana"/>
          <w:sz w:val="20"/>
          <w:szCs w:val="20"/>
          <w:shd w:fill="FFFFFF" w:val="clear"/>
        </w:rPr>
        <w:t>20.1.2.1 Não enviar a proposta adequada ao último lance ofertado ou após a negociação;</w:t>
      </w:r>
    </w:p>
    <w:p>
      <w:pPr>
        <w:pStyle w:val="Normal"/>
        <w:tabs>
          <w:tab w:val="clear" w:pos="708"/>
          <w:tab w:val="left" w:pos="850" w:leader="none"/>
          <w:tab w:val="left" w:pos="1440" w:leader="none"/>
        </w:tabs>
        <w:snapToGrid w:val="false"/>
        <w:spacing w:lineRule="auto" w:line="240" w:before="57" w:after="57"/>
        <w:jc w:val="both"/>
        <w:rPr/>
      </w:pPr>
      <w:r>
        <w:rPr>
          <w:rFonts w:cs="Arial" w:ascii="Verdana" w:hAnsi="Verdana"/>
          <w:sz w:val="20"/>
          <w:szCs w:val="20"/>
          <w:shd w:fill="FFFFFF" w:val="clear"/>
        </w:rPr>
        <w:t>20.1.2.2 Recusar-se a enviar o detalhamento da proposta quando exigível;</w:t>
      </w:r>
    </w:p>
    <w:p>
      <w:pPr>
        <w:pStyle w:val="Normal"/>
        <w:tabs>
          <w:tab w:val="clear" w:pos="708"/>
          <w:tab w:val="left" w:pos="850" w:leader="none"/>
          <w:tab w:val="left" w:pos="1440" w:leader="none"/>
        </w:tabs>
        <w:snapToGrid w:val="false"/>
        <w:spacing w:lineRule="auto" w:line="240" w:before="57" w:after="57"/>
        <w:jc w:val="both"/>
        <w:rPr/>
      </w:pPr>
      <w:r>
        <w:rPr>
          <w:rFonts w:cs="Arial" w:ascii="Verdana" w:hAnsi="Verdana"/>
          <w:sz w:val="20"/>
          <w:szCs w:val="20"/>
        </w:rPr>
        <w:t xml:space="preserve">20.1.2.3 Pedir para ser desclassificado quando encerrada a etapa competitiva; ou </w:t>
      </w:r>
    </w:p>
    <w:p>
      <w:pPr>
        <w:pStyle w:val="Normal"/>
        <w:tabs>
          <w:tab w:val="clear" w:pos="708"/>
          <w:tab w:val="left" w:pos="850" w:leader="none"/>
          <w:tab w:val="left" w:pos="1440" w:leader="none"/>
        </w:tabs>
        <w:snapToGrid w:val="false"/>
        <w:spacing w:lineRule="auto" w:line="240" w:before="57" w:after="57"/>
        <w:jc w:val="both"/>
        <w:rPr/>
      </w:pPr>
      <w:r>
        <w:rPr>
          <w:rFonts w:cs="Arial" w:ascii="Verdana" w:hAnsi="Verdana"/>
          <w:sz w:val="20"/>
          <w:szCs w:val="20"/>
          <w:shd w:fill="FFFFFF" w:val="clear"/>
        </w:rPr>
        <w:t>20.1.2.4 Deixar de apresentar amostra;</w:t>
      </w:r>
    </w:p>
    <w:p>
      <w:pPr>
        <w:pStyle w:val="Normal"/>
        <w:tabs>
          <w:tab w:val="clear" w:pos="708"/>
          <w:tab w:val="left" w:pos="850" w:leader="none"/>
          <w:tab w:val="left" w:pos="1440" w:leader="none"/>
        </w:tabs>
        <w:snapToGrid w:val="false"/>
        <w:spacing w:lineRule="auto" w:line="240" w:before="57" w:after="57"/>
        <w:jc w:val="both"/>
        <w:rPr/>
      </w:pPr>
      <w:r>
        <w:rPr>
          <w:rFonts w:cs="Arial" w:ascii="Verdana" w:hAnsi="Verdana"/>
          <w:sz w:val="20"/>
          <w:szCs w:val="20"/>
          <w:shd w:fill="FFFFFF" w:val="clear"/>
        </w:rPr>
        <w:t>20.1.2.5 Apresentar proposta ou amostra em desacordo com as especificações do edital;</w:t>
      </w:r>
    </w:p>
    <w:p>
      <w:pPr>
        <w:pStyle w:val="Normal"/>
        <w:tabs>
          <w:tab w:val="clear" w:pos="708"/>
          <w:tab w:val="left" w:pos="850" w:leader="none"/>
          <w:tab w:val="left" w:pos="1440" w:leader="none"/>
        </w:tabs>
        <w:snapToGrid w:val="false"/>
        <w:spacing w:lineRule="auto" w:line="240" w:before="57" w:after="57"/>
        <w:jc w:val="both"/>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lineRule="auto" w:line="240" w:before="57" w:after="57"/>
        <w:jc w:val="both"/>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lineRule="auto" w:line="240" w:before="57" w:after="57"/>
        <w:jc w:val="both"/>
        <w:rPr/>
      </w:pPr>
      <w:r>
        <w:rPr>
          <w:rFonts w:ascii="Verdana" w:hAnsi="Verdana"/>
          <w:sz w:val="20"/>
          <w:szCs w:val="20"/>
        </w:rPr>
        <w:t>20.1.4 A</w:t>
      </w:r>
      <w:bookmarkStart w:id="15" w:name="_Ref114668249"/>
      <w:r>
        <w:rPr>
          <w:rFonts w:ascii="Verdana" w:hAnsi="Verdana"/>
          <w:sz w:val="20"/>
          <w:szCs w:val="20"/>
        </w:rPr>
        <w:t>presentar declaração ou documentação falsa exigida para o certame ou prestar declaração falsa durante a licitação</w:t>
      </w:r>
      <w:bookmarkEnd w:id="15"/>
    </w:p>
    <w:p>
      <w:pPr>
        <w:pStyle w:val="Normal"/>
        <w:spacing w:lineRule="auto" w:line="240" w:before="57" w:after="57"/>
        <w:jc w:val="both"/>
        <w:rPr/>
      </w:pPr>
      <w:r>
        <w:rPr>
          <w:rFonts w:ascii="Verdana" w:hAnsi="Verdana"/>
          <w:sz w:val="20"/>
          <w:szCs w:val="20"/>
        </w:rPr>
        <w:t>20.1.5 F</w:t>
      </w:r>
      <w:bookmarkStart w:id="16" w:name="_Ref114668245"/>
      <w:r>
        <w:rPr>
          <w:rFonts w:ascii="Verdana" w:hAnsi="Verdana"/>
          <w:sz w:val="20"/>
          <w:szCs w:val="20"/>
        </w:rPr>
        <w:t>raudar a licitação</w:t>
      </w:r>
      <w:bookmarkEnd w:id="16"/>
    </w:p>
    <w:p>
      <w:pPr>
        <w:pStyle w:val="Normal"/>
        <w:spacing w:lineRule="auto" w:line="240" w:before="57" w:after="57"/>
        <w:jc w:val="both"/>
        <w:rPr/>
      </w:pPr>
      <w:r>
        <w:rPr>
          <w:rFonts w:ascii="Verdana" w:hAnsi="Verdana"/>
          <w:sz w:val="20"/>
          <w:szCs w:val="20"/>
        </w:rPr>
        <w:t>20.1.6 C</w:t>
      </w:r>
      <w:bookmarkStart w:id="17" w:name="_Ref114668247"/>
      <w:r>
        <w:rPr>
          <w:rFonts w:ascii="Verdana" w:hAnsi="Verdana"/>
          <w:sz w:val="20"/>
          <w:szCs w:val="20"/>
        </w:rPr>
        <w:t>omportar-se de modo inidôneo ou cometer fraude de qualquer natureza, em especial quando:</w:t>
      </w:r>
      <w:bookmarkEnd w:id="17"/>
    </w:p>
    <w:p>
      <w:pPr>
        <w:pStyle w:val="Normal"/>
        <w:spacing w:lineRule="auto" w:line="240" w:before="57" w:after="57"/>
        <w:jc w:val="both"/>
        <w:rPr/>
      </w:pPr>
      <w:r>
        <w:rPr>
          <w:rFonts w:ascii="Verdana" w:hAnsi="Verdana"/>
          <w:sz w:val="20"/>
          <w:szCs w:val="20"/>
        </w:rPr>
        <w:t>20.1.6.1 Agir em conluio ou em desconformidade com a lei;</w:t>
      </w:r>
    </w:p>
    <w:p>
      <w:pPr>
        <w:pStyle w:val="Normal"/>
        <w:spacing w:lineRule="auto" w:line="240" w:before="57" w:after="57"/>
        <w:jc w:val="both"/>
        <w:rPr/>
      </w:pPr>
      <w:r>
        <w:rPr>
          <w:rFonts w:ascii="Verdana" w:hAnsi="Verdana"/>
          <w:sz w:val="20"/>
          <w:szCs w:val="20"/>
        </w:rPr>
        <w:t>20.1.6.2 Induzir deliberadamente a erro no julgamento;</w:t>
      </w:r>
    </w:p>
    <w:p>
      <w:pPr>
        <w:pStyle w:val="Normal"/>
        <w:spacing w:lineRule="auto" w:line="240" w:before="57" w:after="57"/>
        <w:jc w:val="both"/>
        <w:rPr/>
      </w:pPr>
      <w:r>
        <w:rPr>
          <w:rFonts w:ascii="Verdana" w:hAnsi="Verdana"/>
          <w:sz w:val="20"/>
          <w:szCs w:val="20"/>
        </w:rPr>
        <w:t>20.1.6.3 Apresentar amostra falsificada ou deteriorada;</w:t>
      </w:r>
    </w:p>
    <w:p>
      <w:pPr>
        <w:pStyle w:val="Normal"/>
        <w:spacing w:lineRule="auto" w:line="240" w:before="57" w:after="57"/>
        <w:jc w:val="both"/>
        <w:rPr/>
      </w:pPr>
      <w:r>
        <w:rPr>
          <w:rFonts w:ascii="Verdana" w:hAnsi="Verdana"/>
          <w:sz w:val="20"/>
          <w:szCs w:val="20"/>
        </w:rPr>
        <w:t>20.1.7 P</w:t>
      </w:r>
      <w:bookmarkStart w:id="18" w:name="_Ref114668251"/>
      <w:r>
        <w:rPr>
          <w:rFonts w:ascii="Verdana" w:hAnsi="Verdana"/>
          <w:sz w:val="20"/>
          <w:szCs w:val="20"/>
        </w:rPr>
        <w:t>raticar atos ilícitos com vistas a frustrar os objetivos da licitação</w:t>
      </w:r>
      <w:bookmarkEnd w:id="18"/>
    </w:p>
    <w:p>
      <w:pPr>
        <w:pStyle w:val="Normal"/>
        <w:spacing w:lineRule="auto" w:line="240" w:before="57" w:after="57"/>
        <w:jc w:val="both"/>
        <w:rPr/>
      </w:pPr>
      <w:r>
        <w:rPr>
          <w:rFonts w:ascii="Verdana" w:hAnsi="Verdana"/>
          <w:sz w:val="20"/>
          <w:szCs w:val="20"/>
        </w:rPr>
        <w:t>20.1.8 P</w:t>
      </w:r>
      <w:bookmarkStart w:id="19" w:name="_Ref114668252"/>
      <w:r>
        <w:rPr>
          <w:rFonts w:ascii="Verdana" w:hAnsi="Verdana"/>
          <w:sz w:val="20"/>
          <w:szCs w:val="20"/>
        </w:rPr>
        <w:t xml:space="preserve">raticar ato lesivo previsto no </w:t>
      </w:r>
      <w:r>
        <w:fldChar w:fldCharType="begin"/>
      </w:r>
      <w:r>
        <w:rPr>
          <w:rStyle w:val="ListLabel296"/>
          <w:sz w:val="20"/>
          <w:szCs w:val="20"/>
          <w:rFonts w:ascii="Verdana" w:hAnsi="Verdana"/>
          <w:color w:val="000000"/>
        </w:rPr>
        <w:instrText xml:space="preserve"> HYPERLINK "https://www.planalto.gov.br/ccivil_03/_ato2011-2014/2013/lei/l12846.htm" \l "art5"</w:instrText>
      </w:r>
      <w:r>
        <w:rPr>
          <w:rStyle w:val="ListLabel296"/>
          <w:sz w:val="20"/>
          <w:szCs w:val="20"/>
          <w:rFonts w:ascii="Verdana" w:hAnsi="Verdana"/>
          <w:color w:val="000000"/>
        </w:rPr>
        <w:fldChar w:fldCharType="separate"/>
      </w:r>
      <w:r>
        <w:rPr>
          <w:rStyle w:val="ListLabel296"/>
          <w:rFonts w:ascii="Verdana" w:hAnsi="Verdana"/>
          <w:color w:val="000000"/>
          <w:sz w:val="20"/>
          <w:szCs w:val="20"/>
        </w:rPr>
        <w:t>art. 5º da Lei n.º 12.846, de 2013</w:t>
      </w:r>
      <w:r>
        <w:rPr>
          <w:rStyle w:val="ListLabel296"/>
          <w:sz w:val="20"/>
          <w:szCs w:val="20"/>
          <w:rFonts w:ascii="Verdana" w:hAnsi="Verdana"/>
          <w:color w:val="000000"/>
        </w:rPr>
        <w:fldChar w:fldCharType="end"/>
      </w:r>
      <w:r>
        <w:rPr>
          <w:rFonts w:ascii="Verdana" w:hAnsi="Verdana"/>
          <w:sz w:val="20"/>
          <w:szCs w:val="20"/>
        </w:rPr>
        <w:t>.</w:t>
      </w:r>
      <w:bookmarkEnd w:id="19"/>
    </w:p>
    <w:p>
      <w:pPr>
        <w:pStyle w:val="Nivel2"/>
        <w:numPr>
          <w:ilvl w:val="0"/>
          <w:numId w:val="0"/>
        </w:numPr>
        <w:spacing w:lineRule="auto" w:line="240" w:before="0" w:after="0"/>
        <w:ind w:hanging="0" w:left="0"/>
        <w:r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spacing w:lineRule="auto" w:line="240" w:before="0" w:after="0"/>
        <w:ind w:hanging="0" w:left="0"/>
        <w:rPr/>
      </w:pPr>
      <w:r>
        <w:rPr>
          <w:rFonts w:ascii="Verdana" w:hAnsi="Verdana"/>
        </w:rPr>
        <w:t>20.2.1 advertência;</w:t>
      </w:r>
    </w:p>
    <w:p>
      <w:pPr>
        <w:pStyle w:val="Nivel2"/>
        <w:numPr>
          <w:ilvl w:val="0"/>
          <w:numId w:val="0"/>
        </w:numPr>
        <w:spacing w:lineRule="auto" w:line="240" w:before="0" w:after="0"/>
        <w:ind w:hanging="0" w:left="0"/>
        <w:rPr/>
      </w:pPr>
      <w:r>
        <w:rPr>
          <w:rFonts w:ascii="Verdana" w:hAnsi="Verdana"/>
        </w:rPr>
        <w:t>20.2.2 multa;</w:t>
      </w:r>
    </w:p>
    <w:p>
      <w:pPr>
        <w:pStyle w:val="Nivel2"/>
        <w:numPr>
          <w:ilvl w:val="0"/>
          <w:numId w:val="0"/>
        </w:numPr>
        <w:spacing w:lineRule="auto" w:line="240" w:before="0" w:after="0"/>
        <w:ind w:hanging="0" w:left="0"/>
        <w:rPr/>
      </w:pPr>
      <w:r>
        <w:rPr>
          <w:rFonts w:ascii="Verdana" w:hAnsi="Verdana"/>
        </w:rPr>
        <w:t>20.2.3 impedimento de licitar e contratar e</w:t>
      </w:r>
    </w:p>
    <w:p>
      <w:pPr>
        <w:pStyle w:val="Nivel2"/>
        <w:numPr>
          <w:ilvl w:val="0"/>
          <w:numId w:val="0"/>
        </w:numPr>
        <w:spacing w:lineRule="auto" w:line="240" w:before="0" w:after="0"/>
        <w:ind w:hanging="0" w:left="0"/>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lineRule="auto" w:line="240" w:before="0" w:after="0"/>
        <w:ind w:hanging="0" w:left="0"/>
        <w:rPr/>
      </w:pPr>
      <w:r>
        <w:rPr>
          <w:rFonts w:ascii="Verdana" w:hAnsi="Verdana"/>
        </w:rPr>
        <w:t>20.3 Na aplicação das sanções serão considerados:</w:t>
      </w:r>
    </w:p>
    <w:p>
      <w:pPr>
        <w:pStyle w:val="Nivel2"/>
        <w:numPr>
          <w:ilvl w:val="0"/>
          <w:numId w:val="0"/>
        </w:numPr>
        <w:spacing w:lineRule="auto" w:line="240" w:before="0" w:after="0"/>
        <w:ind w:hanging="0" w:left="0"/>
        <w:rPr/>
      </w:pPr>
      <w:r>
        <w:rPr>
          <w:rFonts w:ascii="Verdana" w:hAnsi="Verdana"/>
        </w:rPr>
        <w:t>20.3.1 a natureza e a gravidade da infração cometida.</w:t>
      </w:r>
    </w:p>
    <w:p>
      <w:pPr>
        <w:pStyle w:val="Nivel2"/>
        <w:numPr>
          <w:ilvl w:val="0"/>
          <w:numId w:val="0"/>
        </w:numPr>
        <w:spacing w:lineRule="auto" w:line="240" w:before="0" w:after="0"/>
        <w:ind w:hanging="0" w:left="0"/>
        <w:rPr/>
      </w:pPr>
      <w:r>
        <w:rPr>
          <w:rFonts w:ascii="Verdana" w:hAnsi="Verdana"/>
        </w:rPr>
        <w:t>20.3.2 as peculiaridades do caso concreto</w:t>
      </w:r>
    </w:p>
    <w:p>
      <w:pPr>
        <w:pStyle w:val="Nivel2"/>
        <w:numPr>
          <w:ilvl w:val="0"/>
          <w:numId w:val="0"/>
        </w:numPr>
        <w:spacing w:lineRule="auto" w:line="240" w:before="0" w:after="0"/>
        <w:ind w:hanging="0" w:left="0"/>
        <w:rPr/>
      </w:pPr>
      <w:r>
        <w:rPr>
          <w:rFonts w:ascii="Verdana" w:hAnsi="Verdana"/>
        </w:rPr>
        <w:t>20.3.3 as circunstâncias agravantes ou atenuantes</w:t>
      </w:r>
    </w:p>
    <w:p>
      <w:pPr>
        <w:pStyle w:val="Nivel2"/>
        <w:numPr>
          <w:ilvl w:val="0"/>
          <w:numId w:val="0"/>
        </w:numPr>
        <w:spacing w:lineRule="auto" w:line="240" w:before="0" w:after="0"/>
        <w:ind w:hanging="0" w:left="0"/>
        <w:rPr/>
      </w:pPr>
      <w:r>
        <w:rPr>
          <w:rFonts w:ascii="Verdana" w:hAnsi="Verdana"/>
        </w:rPr>
        <w:t>20.3.4 os danos que dela provierem para a Administração Pública</w:t>
      </w:r>
    </w:p>
    <w:p>
      <w:pPr>
        <w:pStyle w:val="Nivel2"/>
        <w:numPr>
          <w:ilvl w:val="0"/>
          <w:numId w:val="0"/>
        </w:numPr>
        <w:spacing w:lineRule="auto" w:line="240" w:before="0" w:after="0"/>
        <w:ind w:hanging="0" w:left="0"/>
        <w:rPr/>
      </w:pPr>
      <w:r>
        <w:rPr>
          <w:rFonts w:ascii="Verdana" w:hAnsi="Verdana"/>
        </w:rPr>
        <w:t>20.3.5 a implantação ou o aperfeiçoamento de programa de integridade, conforme normas e orientações dos órgãos de controle.</w:t>
      </w:r>
    </w:p>
    <w:p>
      <w:pPr>
        <w:pStyle w:val="Nivel2"/>
        <w:numPr>
          <w:ilvl w:val="0"/>
          <w:numId w:val="0"/>
        </w:numPr>
        <w:spacing w:lineRule="auto" w:line="240"/>
        <w:ind w:hanging="0" w:left="0"/>
        <w:rPr/>
      </w:pPr>
      <w:r>
        <w:rPr>
          <w:rFonts w:ascii="Verdana" w:hAnsi="Verdana"/>
        </w:rPr>
        <w:t>20.4 A multa será recolhida em percentual de 10% incidente sobre o valor do contrato licitado, recolhida no prazo máximo de 30 (Trinta) dias úteis, a contar da comunicação oficial.</w:t>
      </w:r>
    </w:p>
    <w:p>
      <w:pPr>
        <w:pStyle w:val="Nivel2"/>
        <w:numPr>
          <w:ilvl w:val="0"/>
          <w:numId w:val="0"/>
        </w:numPr>
        <w:spacing w:lineRule="auto" w:line="240"/>
        <w:ind w:hanging="0" w:left="0"/>
        <w:rPr/>
      </w:pPr>
      <w:r>
        <w:rPr>
          <w:rFonts w:ascii="Verdana" w:hAnsi="Verdana"/>
        </w:rPr>
        <w:t xml:space="preserve">20.4.1 </w:t>
      </w:r>
      <w:bookmarkStart w:id="20" w:name="_Hlk113876035"/>
      <w:bookmarkStart w:id="21" w:name="_Hlk113876035_Copia_1"/>
      <w:r>
        <w:rPr>
          <w:rFonts w:ascii="Verdana" w:hAnsi="Verdana"/>
        </w:rPr>
        <w:t>Para as infrações previstas nos itens 20.1.1, 20.1.2 e 20.1.3, a multa será de 5% do valor do contrato licitado.</w:t>
      </w:r>
      <w:bookmarkEnd w:id="20"/>
      <w:bookmarkEnd w:id="21"/>
    </w:p>
    <w:p>
      <w:pPr>
        <w:pStyle w:val="Nivel2"/>
        <w:numPr>
          <w:ilvl w:val="0"/>
          <w:numId w:val="0"/>
        </w:numPr>
        <w:spacing w:lineRule="auto" w:line="240"/>
        <w:ind w:hanging="0" w:left="0"/>
        <w:rPr/>
      </w:pPr>
      <w:r>
        <w:rPr>
          <w:rFonts w:ascii="Verdana" w:hAnsi="Verdana"/>
        </w:rPr>
        <w:t>20.4.2 Para as infrações previstas nos itens 20.1.4, 20.1.5, 20.1.6, 20.1.7 e 20.1.8, a multa será de 15% do valor do contrato licitado.</w:t>
      </w:r>
    </w:p>
    <w:p>
      <w:pPr>
        <w:pStyle w:val="Nivel2"/>
        <w:numPr>
          <w:ilvl w:val="0"/>
          <w:numId w:val="0"/>
        </w:numPr>
        <w:spacing w:lineRule="auto" w:line="240" w:before="0" w:after="0"/>
        <w:ind w:hanging="0" w:left="0"/>
        <w:rPr/>
      </w:pPr>
      <w:r>
        <w:rPr>
          <w:rFonts w:ascii="Verdana" w:hAnsi="Verdana"/>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lineRule="auto" w:line="240" w:before="0" w:after="0"/>
        <w:ind w:hanging="0" w:left="0"/>
        <w:rPr/>
      </w:pPr>
      <w:r>
        <w:rPr>
          <w:rFonts w:ascii="Verdana" w:hAnsi="Verdana"/>
        </w:rPr>
        <w:t>20.6 Na aplicação da sanção de multa será facultada a defesa do interessado no prazo de 15 (quinze) dias úteis, contado da data de sua intimação.</w:t>
      </w:r>
    </w:p>
    <w:p>
      <w:pPr>
        <w:pStyle w:val="Nivel2"/>
        <w:numPr>
          <w:ilvl w:val="0"/>
          <w:numId w:val="0"/>
        </w:numPr>
        <w:spacing w:lineRule="auto" w:line="240" w:before="0" w:after="0"/>
        <w:ind w:hanging="0" w:left="0"/>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lineRule="auto" w:line="240" w:before="0" w:after="0"/>
        <w:ind w:hanging="0" w:left="0"/>
        <w:r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297"/>
          <w:rFonts w:ascii="Verdana" w:hAnsi="Verdana"/>
          <w:color w:val="000000"/>
        </w:rPr>
        <w:instrText xml:space="preserve"> HYPERLINK "http://www.planalto.gov.br/ccivil_03/_ato2019-2022/2021/lei/L14133.htm" \l "art156%C2%A75"</w:instrText>
      </w:r>
      <w:r>
        <w:rPr>
          <w:rStyle w:val="ListLabel297"/>
          <w:rFonts w:ascii="Verdana" w:hAnsi="Verdana"/>
          <w:color w:val="000000"/>
        </w:rPr>
        <w:fldChar w:fldCharType="separate"/>
      </w:r>
      <w:r>
        <w:rPr>
          <w:rStyle w:val="ListLabel297"/>
          <w:rFonts w:ascii="Verdana" w:hAnsi="Verdana"/>
          <w:color w:val="000000"/>
        </w:rPr>
        <w:t>art. 156, §5º, da Lei n.º 14.133/2021</w:t>
      </w:r>
      <w:r>
        <w:rPr>
          <w:rStyle w:val="ListLabel297"/>
          <w:rFonts w:ascii="Verdana" w:hAnsi="Verdana"/>
          <w:color w:val="000000"/>
        </w:rPr>
        <w:fldChar w:fldCharType="end"/>
      </w:r>
      <w:r>
        <w:rPr>
          <w:rFonts w:ascii="Verdana" w:hAnsi="Verdana"/>
        </w:rPr>
        <w:t>.</w:t>
      </w:r>
    </w:p>
    <w:p>
      <w:pPr>
        <w:pStyle w:val="Nivel2"/>
        <w:numPr>
          <w:ilvl w:val="0"/>
          <w:numId w:val="0"/>
        </w:numPr>
        <w:spacing w:lineRule="auto" w:line="240" w:before="0" w:after="0"/>
        <w:ind w:hanging="0" w:left="0"/>
        <w:r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9">
        <w:r>
          <w:rPr>
            <w:rStyle w:val="ListLabel297"/>
            <w:rFonts w:ascii="Verdana" w:hAnsi="Verdana"/>
            <w:color w:val="000000"/>
          </w:rPr>
          <w:t>art. 45, §4º da IN SEGES/ME n.º 73, de 2022</w:t>
        </w:r>
      </w:hyperlink>
      <w:r>
        <w:rPr>
          <w:rFonts w:ascii="Verdana" w:hAnsi="Verdana"/>
        </w:rPr>
        <w:t xml:space="preserve">. </w:t>
      </w:r>
    </w:p>
    <w:p>
      <w:pPr>
        <w:pStyle w:val="Nivel2"/>
        <w:numPr>
          <w:ilvl w:val="0"/>
          <w:numId w:val="0"/>
        </w:numPr>
        <w:spacing w:lineRule="auto" w:line="240" w:before="0" w:after="0"/>
        <w:ind w:hanging="0" w:left="0"/>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lineRule="auto" w:line="240" w:before="0" w:after="0"/>
        <w:ind w:hanging="0" w:left="0"/>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240" w:before="0" w:after="0"/>
        <w:ind w:hanging="0" w:left="0"/>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lineRule="auto" w:line="240" w:before="0" w:after="0"/>
        <w:ind w:hanging="0" w:left="0"/>
        <w:rPr/>
      </w:pPr>
      <w:r>
        <w:rPr>
          <w:rFonts w:ascii="Verdana" w:hAnsi="Verdana"/>
        </w:rPr>
        <w:t>20.12 O recurso e o pedido de reconsideração terão efeito suspensivo do ato ou da decisão recorrida até que sobrevenha decisão final da autoridade competente.</w:t>
      </w:r>
    </w:p>
    <w:p>
      <w:pPr>
        <w:pStyle w:val="Nivel2"/>
        <w:numPr>
          <w:ilvl w:val="0"/>
          <w:numId w:val="0"/>
        </w:numPr>
        <w:spacing w:lineRule="auto" w:line="240" w:before="0" w:after="0"/>
        <w:ind w:hanging="0" w:left="0"/>
        <w:rPr/>
      </w:pPr>
      <w:r>
        <w:rPr>
          <w:rFonts w:cs="Arial" w:ascii="Verdana" w:hAnsi="Verdana"/>
          <w:shd w:fill="FFFFFF" w:val="clear"/>
        </w:rPr>
        <w:t>20.13 A aplicação das sanções previstas neste edital não exclui, em hipótese alguma, a obrigação de reparação integral dos danos causados.</w:t>
      </w:r>
    </w:p>
    <w:p>
      <w:pPr>
        <w:pStyle w:val="ListParagraph"/>
        <w:spacing w:lineRule="auto" w:line="240" w:before="0" w:after="0"/>
        <w:ind w:hanging="0" w:lef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lineRule="auto" w:line="240" w:before="57" w:after="57"/>
        <w:rPr/>
      </w:pPr>
      <w:r>
        <w:rPr>
          <w:rFonts w:cs="Arial" w:ascii="Verdana" w:hAnsi="Verdana"/>
        </w:rPr>
        <w:t>21. DA IMPUGNAÇÃO AO EDITAL E DO PEDIDO DE ESCLARECIMENTO</w:t>
      </w:r>
    </w:p>
    <w:p>
      <w:pPr>
        <w:pStyle w:val="ListParagraph"/>
        <w:spacing w:lineRule="auto" w:line="240" w:before="57" w:after="57"/>
        <w:ind w:hanging="0" w:left="0"/>
        <w:contextualSpacing w:val="false"/>
        <w:jc w:val="both"/>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40" w:before="57" w:after="57"/>
        <w:ind w:hanging="0" w:left="0"/>
        <w:contextualSpacing w:val="false"/>
        <w:jc w:val="both"/>
        <w:rPr/>
      </w:pPr>
      <w:r>
        <w:rPr>
          <w:rFonts w:cs="Arial" w:ascii="Verdana" w:hAnsi="Verdana"/>
          <w:color w:val="000000"/>
          <w:sz w:val="20"/>
          <w:szCs w:val="20"/>
        </w:rPr>
        <w:t xml:space="preserve">21.2 A impugnação poderá ser realizada por forma eletrônica, pelo e-mail </w:t>
      </w:r>
      <w:hyperlink r:id="rId10">
        <w:r>
          <w:rPr>
            <w:rStyle w:val="ListLabel298"/>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40" w:before="57" w:after="57"/>
        <w:ind w:hanging="0" w:left="0"/>
        <w:contextualSpacing w:val="false"/>
        <w:jc w:val="both"/>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40" w:before="57" w:after="57"/>
        <w:ind w:hanging="0" w:left="0"/>
        <w:contextualSpacing w:val="false"/>
        <w:jc w:val="both"/>
        <w:rPr/>
      </w:pPr>
      <w:r>
        <w:rPr>
          <w:rFonts w:cs="Arial" w:ascii="Verdana" w:hAnsi="Verdana"/>
          <w:color w:val="000000"/>
          <w:sz w:val="20"/>
          <w:szCs w:val="20"/>
        </w:rPr>
        <w:t>21.4 Acolhida a impugnação, será definida e publicada nova data para a realização do certame.</w:t>
      </w:r>
    </w:p>
    <w:p>
      <w:pPr>
        <w:pStyle w:val="ListParagraph"/>
        <w:spacing w:lineRule="auto" w:line="240" w:before="57" w:after="57"/>
        <w:ind w:hanging="0" w:left="0"/>
        <w:contextualSpacing w:val="false"/>
        <w:jc w:val="both"/>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40" w:before="57" w:after="57"/>
        <w:ind w:hanging="0" w:left="0"/>
        <w:contextualSpacing w:val="false"/>
        <w:jc w:val="both"/>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40" w:before="57" w:after="57"/>
        <w:ind w:hanging="0" w:left="0"/>
        <w:contextualSpacing w:val="false"/>
        <w:jc w:val="both"/>
        <w:rPr/>
      </w:pPr>
      <w:r>
        <w:rPr>
          <w:rFonts w:cs="Arial" w:ascii="Verdana" w:hAnsi="Verdana"/>
          <w:color w:val="000000"/>
          <w:sz w:val="20"/>
          <w:szCs w:val="20"/>
        </w:rPr>
        <w:t>21.7 As impugnações e pedidos de esclarecimentos não suspendem os prazos previstos no certame.</w:t>
      </w:r>
    </w:p>
    <w:p>
      <w:pPr>
        <w:pStyle w:val="ListParagraph"/>
        <w:spacing w:lineRule="auto" w:line="240" w:before="57" w:after="57"/>
        <w:ind w:hanging="0" w:left="0"/>
        <w:contextualSpacing w:val="false"/>
        <w:jc w:val="both"/>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lineRule="auto" w:line="240" w:before="57" w:after="57"/>
        <w:ind w:hanging="0" w:left="0"/>
        <w:contextualSpacing w:val="false"/>
        <w:jc w:val="both"/>
        <w:rPr/>
      </w:pPr>
      <w:r>
        <w:rPr>
          <w:rFonts w:cs="Arial" w:ascii="Verdana" w:hAnsi="Verdana"/>
          <w:color w:val="000000"/>
          <w:sz w:val="20"/>
          <w:szCs w:val="20"/>
        </w:rPr>
        <w:t>21.9 As respostas aos pedidos de esclarecimentos serão divulgadas pelo sistema e vincularão os participantes e a administração.</w:t>
      </w:r>
    </w:p>
    <w:p>
      <w:pPr>
        <w:pStyle w:val="ListParagraph"/>
        <w:spacing w:lineRule="auto" w:line="240" w:before="57" w:after="57"/>
        <w:ind w:hanging="0" w:left="0"/>
        <w:contextualSpacing w:val="false"/>
        <w:jc w:val="both"/>
        <w:rPr>
          <w:rFonts w:ascii="Verdana" w:hAnsi="Verdana"/>
          <w:sz w:val="20"/>
          <w:szCs w:val="20"/>
        </w:rPr>
      </w:pPr>
      <w:r>
        <w:rPr>
          <w:rFonts w:ascii="Verdana" w:hAnsi="Verdana"/>
          <w:sz w:val="20"/>
          <w:szCs w:val="20"/>
        </w:rPr>
      </w:r>
    </w:p>
    <w:p>
      <w:pPr>
        <w:pStyle w:val="Nivel01"/>
        <w:spacing w:lineRule="auto" w:line="240" w:before="57" w:after="57"/>
        <w:rPr/>
      </w:pPr>
      <w:r>
        <w:rPr>
          <w:rFonts w:cs="Arial" w:ascii="Verdana" w:hAnsi="Verdana"/>
        </w:rPr>
        <w:t>22. DAS DISPOSIÇÕES GERAIS</w:t>
      </w:r>
    </w:p>
    <w:p>
      <w:pPr>
        <w:pStyle w:val="Normal"/>
        <w:spacing w:lineRule="auto" w:line="240" w:before="57" w:after="57"/>
        <w:jc w:val="both"/>
        <w:rPr/>
      </w:pPr>
      <w:r>
        <w:rPr>
          <w:rFonts w:cs="Arial" w:ascii="Verdana" w:hAnsi="Verdana"/>
          <w:color w:val="000000"/>
          <w:sz w:val="20"/>
          <w:szCs w:val="20"/>
        </w:rPr>
        <w:t>22.1 Da sessão pública do Pregão divulgar-se-á Ata no sistema eletrônico.</w:t>
      </w:r>
    </w:p>
    <w:p>
      <w:pPr>
        <w:pStyle w:val="Normal"/>
        <w:spacing w:lineRule="auto" w:line="240" w:before="57" w:after="57"/>
        <w:jc w:val="both"/>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40" w:before="57" w:after="57"/>
        <w:jc w:val="both"/>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lineRule="auto" w:line="240" w:before="57" w:after="57"/>
        <w:jc w:val="both"/>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40" w:before="57" w:after="57"/>
        <w:jc w:val="both"/>
        <w:rPr/>
      </w:pPr>
      <w:r>
        <w:rPr>
          <w:rFonts w:cs="Arial" w:ascii="Verdana" w:hAnsi="Verdana"/>
          <w:color w:val="000000"/>
          <w:sz w:val="20"/>
          <w:szCs w:val="20"/>
        </w:rPr>
        <w:t>22.5 A homologação do resultado desta licitação não implicará direito à contratação.</w:t>
      </w:r>
    </w:p>
    <w:p>
      <w:pPr>
        <w:pStyle w:val="Normal"/>
        <w:spacing w:lineRule="auto" w:line="240" w:before="57" w:after="57"/>
        <w:jc w:val="both"/>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40" w:before="57" w:after="57"/>
        <w:jc w:val="both"/>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40" w:before="57" w:after="57"/>
        <w:jc w:val="both"/>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lineRule="auto" w:line="240" w:before="57" w:after="57"/>
        <w:jc w:val="both"/>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lineRule="auto" w:line="240" w:before="57" w:after="57"/>
        <w:jc w:val="both"/>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lineRule="auto" w:line="240" w:before="57" w:after="57"/>
        <w:jc w:val="both"/>
        <w:rPr/>
      </w:pPr>
      <w:r>
        <w:rPr>
          <w:rFonts w:cs="Arial" w:ascii="Verdana" w:hAnsi="Verdana"/>
          <w:color w:val="000000"/>
          <w:sz w:val="20"/>
          <w:szCs w:val="20"/>
        </w:rPr>
        <w:t xml:space="preserve">22.11 O Edital está disponibilizado, na íntegra, no endereço eletrônico </w:t>
      </w:r>
      <w:r>
        <w:rPr>
          <w:rFonts w:cs="Arial" w:ascii="Verdana" w:hAnsi="Verdana"/>
          <w:sz w:val="20"/>
          <w:szCs w:val="20"/>
          <w:u w:val="single"/>
        </w:rPr>
        <w:t>http://</w:t>
      </w:r>
      <w:bookmarkStart w:id="22" w:name="_Hlk123138684_Copia_3"/>
      <w:r>
        <w:rPr>
          <w:rFonts w:cs="Arial" w:ascii="Verdana" w:hAnsi="Verdana"/>
          <w:color w:val="000000"/>
          <w:sz w:val="20"/>
          <w:szCs w:val="20"/>
          <w:u w:val="single"/>
        </w:rPr>
        <w:t>www.portaldecompraspublicas.com.br</w:t>
      </w:r>
      <w:bookmarkEnd w:id="22"/>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1">
        <w:r>
          <w:rPr>
            <w:rStyle w:val="ListLabel294"/>
            <w:rFonts w:ascii="Verdana" w:hAnsi="Verdana"/>
            <w:color w:val="000080"/>
            <w:sz w:val="20"/>
            <w:szCs w:val="20"/>
            <w:u w:val="single"/>
          </w:rPr>
          <w:t>licitacao@</w:t>
        </w:r>
      </w:hyperlink>
      <w:hyperlink r:id="rId12">
        <w:r>
          <w:rPr>
            <w:rStyle w:val="ListLabel294"/>
            <w:rFonts w:ascii="Verdana" w:hAnsi="Verdana"/>
            <w:color w:val="000080"/>
            <w:sz w:val="20"/>
            <w:szCs w:val="20"/>
            <w:u w:val="single"/>
          </w:rPr>
          <w:t>saogabriel</w:t>
        </w:r>
      </w:hyperlink>
      <w:hyperlink r:id="rId13">
        <w:r>
          <w:rPr>
            <w:rStyle w:val="ListLabel294"/>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pPr>
        <w:pStyle w:val="Normal"/>
        <w:spacing w:lineRule="auto" w:line="240" w:before="57" w:after="57"/>
        <w:jc w:val="both"/>
        <w:rPr/>
      </w:pPr>
      <w:r>
        <w:rPr>
          <w:rFonts w:cs="Arial" w:ascii="Verdana" w:hAnsi="Verdana"/>
          <w:color w:val="000000"/>
          <w:sz w:val="20"/>
          <w:szCs w:val="20"/>
        </w:rPr>
        <w:t>22.12 Integram este Edital, para todos os fins e efeitos, os seguintes anexos</w:t>
      </w:r>
    </w:p>
    <w:p>
      <w:pPr>
        <w:pStyle w:val="Normal"/>
        <w:spacing w:lineRule="auto" w:line="240" w:before="57" w:after="57"/>
        <w:jc w:val="both"/>
        <w:rPr/>
      </w:pPr>
      <w:r>
        <w:rPr>
          <w:rFonts w:cs="Arial" w:ascii="Verdana" w:hAnsi="Verdana"/>
          <w:color w:val="000000"/>
          <w:sz w:val="20"/>
          <w:szCs w:val="20"/>
        </w:rPr>
        <w:t>22.12.1 ANEXO I – Termo de Referência;</w:t>
      </w:r>
    </w:p>
    <w:p>
      <w:pPr>
        <w:pStyle w:val="Normal"/>
        <w:spacing w:lineRule="auto" w:line="240" w:before="57" w:after="57"/>
        <w:jc w:val="both"/>
        <w:rPr/>
      </w:pPr>
      <w:r>
        <w:rPr>
          <w:rFonts w:cs="Arial" w:ascii="Verdana" w:hAnsi="Verdana"/>
          <w:color w:val="000000"/>
          <w:sz w:val="20"/>
          <w:szCs w:val="20"/>
        </w:rPr>
        <w:t>22.12.2.1 ANEXO I-1 – Estudo Técnico Preliminar;</w:t>
      </w:r>
    </w:p>
    <w:p>
      <w:pPr>
        <w:pStyle w:val="Normal"/>
        <w:spacing w:lineRule="auto" w:line="240" w:before="57" w:after="57"/>
        <w:jc w:val="both"/>
        <w:rPr/>
      </w:pPr>
      <w:r>
        <w:rPr>
          <w:rFonts w:cs="Arial" w:ascii="Verdana" w:hAnsi="Verdana"/>
          <w:color w:val="000000"/>
          <w:sz w:val="20"/>
          <w:szCs w:val="20"/>
        </w:rPr>
        <w:t>22.12.2 ANEXO II – Modelo Orientativo de Proposta;</w:t>
      </w:r>
    </w:p>
    <w:p>
      <w:pPr>
        <w:pStyle w:val="Normal"/>
        <w:tabs>
          <w:tab w:val="clear" w:pos="708"/>
          <w:tab w:val="left" w:pos="800" w:leader="none"/>
        </w:tabs>
        <w:snapToGrid w:val="false"/>
        <w:spacing w:lineRule="auto" w:line="240" w:before="57" w:after="57"/>
        <w:jc w:val="both"/>
        <w:rPr/>
      </w:pPr>
      <w:r>
        <w:rPr>
          <w:rFonts w:cs="Arial" w:ascii="Verdana" w:hAnsi="Verdana"/>
          <w:color w:val="000000"/>
          <w:sz w:val="20"/>
          <w:szCs w:val="20"/>
        </w:rPr>
        <w:t>22.12.3 ANEXO III – Minuta de Ata de Registro de Preços.</w:t>
      </w:r>
    </w:p>
    <w:p>
      <w:pPr>
        <w:pStyle w:val="Normal"/>
        <w:keepNext w:val="true"/>
        <w:keepLines/>
        <w:numPr>
          <w:ilvl w:val="0"/>
          <w:numId w:val="0"/>
        </w:numPr>
        <w:tabs>
          <w:tab w:val="clear" w:pos="708"/>
          <w:tab w:val="left" w:pos="567" w:leader="none"/>
        </w:tabs>
        <w:spacing w:lineRule="auto" w:line="240"/>
        <w:ind w:hanging="0" w:left="36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08"/>
          <w:tab w:val="left" w:pos="567" w:leader="none"/>
        </w:tabs>
        <w:spacing w:lineRule="auto" w:line="240"/>
        <w:ind w:hanging="0" w:left="36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08"/>
          <w:tab w:val="left" w:pos="567" w:leader="none"/>
        </w:tabs>
        <w:spacing w:lineRule="auto" w:line="240"/>
        <w:ind w:hanging="0" w:left="360"/>
        <w:jc w:val="center"/>
        <w:outlineLvl w:val="0"/>
        <w:rPr/>
      </w:pPr>
      <w:r>
        <w:rPr>
          <w:rFonts w:cs="Arial" w:ascii="Verdana" w:hAnsi="Verdana"/>
          <w:color w:val="000000"/>
          <w:sz w:val="20"/>
          <w:szCs w:val="20"/>
        </w:rPr>
        <w:t>São Gabriel da Palha/ES, 07 de abril de 2025.</w:t>
      </w:r>
    </w:p>
    <w:p>
      <w:pPr>
        <w:pStyle w:val="Normal"/>
        <w:tabs>
          <w:tab w:val="clear" w:pos="708"/>
          <w:tab w:val="left" w:pos="1440" w:leader="none"/>
        </w:tabs>
        <w:snapToGrid w:val="false"/>
        <w:spacing w:lineRule="auto" w:line="240" w:before="120" w:after="120"/>
        <w:ind w:hanging="0" w:left="1638"/>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lineRule="auto" w:line="240" w:before="120" w:after="120"/>
        <w:ind w:hanging="0" w:left="1638"/>
        <w:jc w:val="both"/>
        <w:rPr>
          <w:rFonts w:ascii="Verdana" w:hAnsi="Verdana" w:cs="Arial"/>
          <w:sz w:val="20"/>
          <w:szCs w:val="20"/>
        </w:rPr>
      </w:pPr>
      <w:r>
        <w:rPr>
          <w:rFonts w:cs="Arial" w:ascii="Verdana" w:hAnsi="Verdana"/>
          <w:sz w:val="20"/>
          <w:szCs w:val="20"/>
        </w:rPr>
      </w:r>
    </w:p>
    <w:p>
      <w:pPr>
        <w:pStyle w:val="Normal"/>
        <w:keepNext w:val="true"/>
        <w:keepLines/>
        <w:numPr>
          <w:ilvl w:val="0"/>
          <w:numId w:val="0"/>
        </w:numPr>
        <w:tabs>
          <w:tab w:val="clear" w:pos="708"/>
          <w:tab w:val="left" w:pos="567" w:leader="none"/>
        </w:tabs>
        <w:spacing w:lineRule="auto" w:line="240"/>
        <w:ind w:hanging="0" w:left="0" w:right="113"/>
        <w:jc w:val="center"/>
        <w:outlineLvl w:val="0"/>
        <w:rPr/>
      </w:pPr>
      <w:r>
        <w:rPr>
          <w:rFonts w:eastAsia="" w:cs="Arial" w:ascii="Verdana" w:hAnsi="Verdana" w:eastAsiaTheme="majorEastAsia"/>
          <w:b/>
          <w:bCs/>
          <w:color w:val="000000"/>
          <w:sz w:val="20"/>
          <w:szCs w:val="20"/>
        </w:rPr>
        <w:t>MARCELLA FERREIRA ROSSONI ROCHA</w:t>
      </w:r>
    </w:p>
    <w:p>
      <w:pPr>
        <w:pStyle w:val="Normal"/>
        <w:keepNext w:val="true"/>
        <w:keepLines/>
        <w:numPr>
          <w:ilvl w:val="0"/>
          <w:numId w:val="0"/>
        </w:numPr>
        <w:tabs>
          <w:tab w:val="clear" w:pos="708"/>
          <w:tab w:val="left" w:pos="567" w:leader="none"/>
        </w:tabs>
        <w:spacing w:lineRule="auto" w:line="240"/>
        <w:ind w:hanging="0" w:left="0" w:right="113"/>
        <w:jc w:val="center"/>
        <w:outlineLvl w:val="0"/>
        <w:rPr/>
      </w:pPr>
      <w:r>
        <w:rPr>
          <w:rFonts w:eastAsia="" w:cs="Arial" w:ascii="Verdana" w:hAnsi="Verdana" w:eastAsiaTheme="majorEastAsia"/>
          <w:b/>
          <w:bCs/>
          <w:color w:val="000000"/>
          <w:sz w:val="20"/>
          <w:szCs w:val="20"/>
        </w:rPr>
        <w:t>Secretária Municipal de Saúde Interina</w:t>
      </w:r>
    </w:p>
    <w:sectPr>
      <w:headerReference w:type="even" r:id="rId14"/>
      <w:headerReference w:type="default" r:id="rId15"/>
      <w:headerReference w:type="first" r:id="rId16"/>
      <w:footerReference w:type="even" r:id="rId17"/>
      <w:footerReference w:type="default" r:id="rId18"/>
      <w:footerReference w:type="first" r:id="rId19"/>
      <w:type w:val="nextPage"/>
      <w:pgSz w:w="11906" w:h="16838"/>
      <w:pgMar w:left="1367" w:right="872" w:gutter="0" w:header="517" w:top="1767" w:footer="0" w:bottom="709"/>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6">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6">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hanging="0"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name w:val="Internet Link"/>
    <w:uiPriority w:val="99"/>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character" w:styleId="InternetLink1">
    <w:name w:val="Internet Link1"/>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customStyle="1">
    <w:name w:val="caption1"/>
    <w:basedOn w:val="Normal"/>
    <w:qFormat/>
    <w:pPr>
      <w:suppressLineNumbers/>
      <w:spacing w:before="120" w:after="120"/>
    </w:pPr>
    <w:rPr>
      <w:rFonts w:cs="Arial"/>
      <w:i/>
      <w:iCs/>
    </w:rPr>
  </w:style>
  <w:style w:type="paragraph" w:styleId="ListParagraph">
    <w:name w:val="List Paragraph"/>
    <w:basedOn w:val="Normal"/>
    <w:uiPriority w:val="34"/>
    <w:qFormat/>
    <w:pPr>
      <w:spacing w:before="0" w:after="0"/>
      <w:ind w:hanging="0"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hanging="0"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ecompraspublicas.com.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yperlink" Target="mailto:licitacao@saogabriel.es.gov.br" TargetMode="Externa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header" Target="header3.xm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oter" Target="footer3.xm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Relationship Id="rId24"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3370</TotalTime>
  <Application>LibreOffice/24.2.6.2$Windows_X86_64 LibreOffice_project/ef66aa7e36a1bb8e65bfbc63aba53045a14d0871</Application>
  <AppVersion>15.0000</AppVersion>
  <Pages>15</Pages>
  <Words>8275</Words>
  <Characters>46869</Characters>
  <CharactersWithSpaces>54759</CharactersWithSpaces>
  <Paragraphs>316</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2022-01-14T09:33:00Z</dcterms:created>
  <dc:creator>Compras</dc:creator>
  <dc:description/>
  <dc:language>pt-BR</dc:language>
  <cp:lastModifiedBy/>
  <cp:lastPrinted>2025-04-07T13:23:43Z</cp:lastPrinted>
  <dcterms:modified xsi:type="dcterms:W3CDTF">2025-04-30T16:08:11Z</dcterms:modified>
  <cp:revision>173</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